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5181D" w14:textId="27B7CA7F" w:rsidR="00FC71FF" w:rsidRDefault="00F24418" w:rsidP="00D1262F">
      <w:bookmarkStart w:id="0" w:name="_GoBack"/>
      <w:bookmarkEnd w:id="0"/>
      <w:r>
        <w:rPr>
          <w:noProof/>
        </w:rPr>
        <w:drawing>
          <wp:inline distT="0" distB="0" distL="0" distR="0" wp14:anchorId="0E6A3520" wp14:editId="4AA7F03A">
            <wp:extent cx="9097645" cy="642366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97645" cy="6423660"/>
                    </a:xfrm>
                    <a:prstGeom prst="rect">
                      <a:avLst/>
                    </a:prstGeom>
                    <a:noFill/>
                    <a:ln>
                      <a:noFill/>
                    </a:ln>
                  </pic:spPr>
                </pic:pic>
              </a:graphicData>
            </a:graphic>
          </wp:inline>
        </w:drawing>
      </w:r>
    </w:p>
    <w:p w14:paraId="2FEF8DCD" w14:textId="77777777" w:rsidR="00872802" w:rsidRDefault="00872802" w:rsidP="00D1262F">
      <w:pPr>
        <w:sectPr w:rsidR="00872802" w:rsidSect="004510C9">
          <w:pgSz w:w="16840" w:h="11900" w:orient="landscape"/>
          <w:pgMar w:top="1417" w:right="1417" w:bottom="1417" w:left="1417" w:header="708" w:footer="708" w:gutter="0"/>
          <w:cols w:space="708"/>
        </w:sectPr>
      </w:pPr>
    </w:p>
    <w:tbl>
      <w:tblPr>
        <w:tblStyle w:val="Grille"/>
        <w:tblpPr w:leftFromText="141" w:rightFromText="141" w:horzAnchor="page" w:tblpX="782" w:tblpY="-673"/>
        <w:tblW w:w="10456" w:type="dxa"/>
        <w:tblLayout w:type="fixed"/>
        <w:tblLook w:val="04A0" w:firstRow="1" w:lastRow="0" w:firstColumn="1" w:lastColumn="0" w:noHBand="0" w:noVBand="1"/>
      </w:tblPr>
      <w:tblGrid>
        <w:gridCol w:w="1951"/>
        <w:gridCol w:w="4111"/>
        <w:gridCol w:w="4394"/>
      </w:tblGrid>
      <w:tr w:rsidR="00872802" w:rsidRPr="004A32B0" w14:paraId="1FCAF023" w14:textId="77777777" w:rsidTr="00487096">
        <w:tc>
          <w:tcPr>
            <w:tcW w:w="10456" w:type="dxa"/>
            <w:gridSpan w:val="3"/>
            <w:shd w:val="clear" w:color="auto" w:fill="FFFF00"/>
          </w:tcPr>
          <w:p w14:paraId="141FB762" w14:textId="77777777" w:rsidR="00872802" w:rsidRPr="004A32B0" w:rsidRDefault="00872802" w:rsidP="00487096">
            <w:pPr>
              <w:jc w:val="center"/>
              <w:rPr>
                <w:b/>
                <w:sz w:val="32"/>
                <w:szCs w:val="32"/>
              </w:rPr>
            </w:pPr>
            <w:r w:rsidRPr="004A32B0">
              <w:rPr>
                <w:b/>
                <w:sz w:val="32"/>
                <w:szCs w:val="32"/>
              </w:rPr>
              <w:lastRenderedPageBreak/>
              <w:t>Petit glossaire au service de la réforme</w:t>
            </w:r>
          </w:p>
        </w:tc>
      </w:tr>
      <w:tr w:rsidR="00872802" w:rsidRPr="004A32B0" w14:paraId="752219D7" w14:textId="77777777" w:rsidTr="00487096">
        <w:tc>
          <w:tcPr>
            <w:tcW w:w="1951" w:type="dxa"/>
            <w:shd w:val="clear" w:color="auto" w:fill="CCFFCC"/>
          </w:tcPr>
          <w:p w14:paraId="476B37C5" w14:textId="77777777" w:rsidR="00872802" w:rsidRPr="004A32B0" w:rsidRDefault="00872802" w:rsidP="00487096">
            <w:pPr>
              <w:rPr>
                <w:b/>
              </w:rPr>
            </w:pPr>
            <w:r w:rsidRPr="004A32B0">
              <w:rPr>
                <w:b/>
              </w:rPr>
              <w:t>Notions</w:t>
            </w:r>
          </w:p>
        </w:tc>
        <w:tc>
          <w:tcPr>
            <w:tcW w:w="4111" w:type="dxa"/>
            <w:shd w:val="clear" w:color="auto" w:fill="CCFFCC"/>
          </w:tcPr>
          <w:p w14:paraId="77475E39" w14:textId="77777777" w:rsidR="00872802" w:rsidRPr="004A32B0" w:rsidRDefault="00872802" w:rsidP="00487096">
            <w:pPr>
              <w:jc w:val="center"/>
              <w:rPr>
                <w:b/>
              </w:rPr>
            </w:pPr>
            <w:r w:rsidRPr="004A32B0">
              <w:rPr>
                <w:b/>
              </w:rPr>
              <w:t xml:space="preserve">Enjeux dans le cadre de la </w:t>
            </w:r>
          </w:p>
          <w:p w14:paraId="07F6B2DC" w14:textId="77777777" w:rsidR="00872802" w:rsidRPr="004A32B0" w:rsidRDefault="00872802" w:rsidP="00487096">
            <w:pPr>
              <w:jc w:val="center"/>
              <w:rPr>
                <w:b/>
              </w:rPr>
            </w:pPr>
            <w:r w:rsidRPr="004A32B0">
              <w:rPr>
                <w:b/>
              </w:rPr>
              <w:t>réforme du collège</w:t>
            </w:r>
          </w:p>
        </w:tc>
        <w:tc>
          <w:tcPr>
            <w:tcW w:w="4394" w:type="dxa"/>
            <w:shd w:val="clear" w:color="auto" w:fill="CCFFCC"/>
          </w:tcPr>
          <w:p w14:paraId="1E386908" w14:textId="77777777" w:rsidR="00872802" w:rsidRPr="004A32B0" w:rsidRDefault="00872802" w:rsidP="00487096">
            <w:pPr>
              <w:jc w:val="center"/>
              <w:rPr>
                <w:b/>
              </w:rPr>
            </w:pPr>
            <w:r w:rsidRPr="004A32B0">
              <w:rPr>
                <w:b/>
              </w:rPr>
              <w:t>Ressources et/ou courtes définitions complémentaires</w:t>
            </w:r>
          </w:p>
        </w:tc>
      </w:tr>
      <w:tr w:rsidR="007B10D9" w:rsidRPr="00D1262F" w14:paraId="0542F79F" w14:textId="77777777" w:rsidTr="00487096">
        <w:tc>
          <w:tcPr>
            <w:tcW w:w="1951" w:type="dxa"/>
          </w:tcPr>
          <w:p w14:paraId="38464750" w14:textId="76202B81" w:rsidR="007B10D9" w:rsidRPr="00D1262F" w:rsidRDefault="007B10D9" w:rsidP="007B10D9">
            <w:r>
              <w:t>Cohérence</w:t>
            </w:r>
          </w:p>
        </w:tc>
        <w:tc>
          <w:tcPr>
            <w:tcW w:w="4111" w:type="dxa"/>
          </w:tcPr>
          <w:p w14:paraId="7B2AABCA" w14:textId="534B05EE" w:rsidR="007B10D9" w:rsidRPr="00D1262F" w:rsidRDefault="007B10D9" w:rsidP="007B10D9">
            <w:r>
              <w:t>Elle est à la fois verticale et horizontale.</w:t>
            </w:r>
          </w:p>
        </w:tc>
        <w:tc>
          <w:tcPr>
            <w:tcW w:w="4394" w:type="dxa"/>
          </w:tcPr>
          <w:p w14:paraId="32ABDF5D" w14:textId="77777777" w:rsidR="007B10D9" w:rsidRDefault="007B10D9" w:rsidP="007B10D9">
            <w:r>
              <w:t>Verticale : progression selon des niveaux de maîtrise identifiés.</w:t>
            </w:r>
          </w:p>
          <w:p w14:paraId="2E7CCFF7" w14:textId="06A4AFA2" w:rsidR="007B10D9" w:rsidRPr="00D1262F" w:rsidRDefault="007B10D9" w:rsidP="007B10D9">
            <w:r>
              <w:t>Horizontale : contenus équilibrés selon une intention de complémentarité et/ou de supplémentarité.</w:t>
            </w:r>
          </w:p>
        </w:tc>
      </w:tr>
      <w:tr w:rsidR="007B10D9" w:rsidRPr="00D1262F" w14:paraId="53C76E04" w14:textId="77777777" w:rsidTr="00487096">
        <w:tc>
          <w:tcPr>
            <w:tcW w:w="1951" w:type="dxa"/>
          </w:tcPr>
          <w:p w14:paraId="75224DC6" w14:textId="516129FB" w:rsidR="007B10D9" w:rsidRPr="00D1262F" w:rsidRDefault="007B10D9" w:rsidP="007B10D9">
            <w:r>
              <w:t>Conduite du changement</w:t>
            </w:r>
          </w:p>
        </w:tc>
        <w:tc>
          <w:tcPr>
            <w:tcW w:w="4111" w:type="dxa"/>
          </w:tcPr>
          <w:p w14:paraId="400E9BEB" w14:textId="33501032" w:rsidR="007B10D9" w:rsidRPr="00D1262F" w:rsidRDefault="007B10D9" w:rsidP="007B10D9">
            <w:r>
              <w:t>Il s’agit d’expliciter, écouter, répondre aux questions et aux doutes, rassurer, renforcer l’expertise présente.</w:t>
            </w:r>
          </w:p>
        </w:tc>
        <w:tc>
          <w:tcPr>
            <w:tcW w:w="4394" w:type="dxa"/>
          </w:tcPr>
          <w:p w14:paraId="0B804AEF" w14:textId="4A39568A" w:rsidR="007B10D9" w:rsidRPr="00D1262F" w:rsidRDefault="007B10D9" w:rsidP="007B10D9">
            <w:r>
              <w:t xml:space="preserve">Fiches </w:t>
            </w:r>
            <w:proofErr w:type="spellStart"/>
            <w:r>
              <w:t>éduscol</w:t>
            </w:r>
            <w:proofErr w:type="spellEnd"/>
            <w:r>
              <w:t>, Foire Aux Questions (FAQ).</w:t>
            </w:r>
          </w:p>
        </w:tc>
      </w:tr>
      <w:tr w:rsidR="007B10D9" w:rsidRPr="00D1262F" w14:paraId="131E7592" w14:textId="77777777" w:rsidTr="00487096">
        <w:tc>
          <w:tcPr>
            <w:tcW w:w="1951" w:type="dxa"/>
          </w:tcPr>
          <w:p w14:paraId="24D47C53" w14:textId="34154857" w:rsidR="007B10D9" w:rsidRPr="00D1262F" w:rsidRDefault="007B10D9" w:rsidP="007B10D9">
            <w:r>
              <w:t>Compétence</w:t>
            </w:r>
          </w:p>
        </w:tc>
        <w:tc>
          <w:tcPr>
            <w:tcW w:w="4111" w:type="dxa"/>
          </w:tcPr>
          <w:p w14:paraId="06B25313" w14:textId="1B3F9462" w:rsidR="007B10D9" w:rsidRPr="00D1262F" w:rsidRDefault="007B10D9" w:rsidP="007B10D9">
            <w:r>
              <w:t>Elle s’observe à travers les connaissances en acte</w:t>
            </w:r>
            <w:r w:rsidR="00E977D1">
              <w:t>s</w:t>
            </w:r>
            <w:r>
              <w:t xml:space="preserve">. </w:t>
            </w:r>
          </w:p>
        </w:tc>
        <w:tc>
          <w:tcPr>
            <w:tcW w:w="4394" w:type="dxa"/>
          </w:tcPr>
          <w:p w14:paraId="0229A7FE" w14:textId="6D7FED4B" w:rsidR="007B10D9" w:rsidRPr="00D1262F" w:rsidRDefault="007B10D9" w:rsidP="007B10D9">
            <w:r>
              <w:t>Capacité à mobiliser ses ressources (connaissances, capacités, attitudes ou savoir</w:t>
            </w:r>
            <w:r w:rsidR="008052F7">
              <w:t>s</w:t>
            </w:r>
            <w:r>
              <w:t>, savoir-faire, savoir-être) pour accomplir une tâche ou faire face à une situation complexe et/ou inédite.</w:t>
            </w:r>
          </w:p>
        </w:tc>
      </w:tr>
      <w:tr w:rsidR="007B10D9" w:rsidRPr="00D1262F" w14:paraId="4C598476" w14:textId="77777777" w:rsidTr="00487096">
        <w:tc>
          <w:tcPr>
            <w:tcW w:w="1951" w:type="dxa"/>
          </w:tcPr>
          <w:p w14:paraId="129121A9" w14:textId="28BA7A72" w:rsidR="007B10D9" w:rsidRPr="00D1262F" w:rsidRDefault="007B10D9" w:rsidP="007B10D9">
            <w:r>
              <w:t>DNB</w:t>
            </w:r>
          </w:p>
        </w:tc>
        <w:tc>
          <w:tcPr>
            <w:tcW w:w="4111" w:type="dxa"/>
          </w:tcPr>
          <w:p w14:paraId="64C4FCAD" w14:textId="0F03D94B" w:rsidR="007B10D9" w:rsidRPr="00D1262F" w:rsidRDefault="007B10D9" w:rsidP="007B10D9">
            <w:r>
              <w:t>Le DNB atteste de la maîtrise du SCCCC.</w:t>
            </w:r>
          </w:p>
        </w:tc>
        <w:tc>
          <w:tcPr>
            <w:tcW w:w="4394" w:type="dxa"/>
          </w:tcPr>
          <w:p w14:paraId="741E6019" w14:textId="0AD7434F" w:rsidR="007B10D9" w:rsidRPr="00D1262F" w:rsidRDefault="007B10D9" w:rsidP="007B10D9">
            <w:r>
              <w:t>Un livret scolaire, des niveaux de maîtrise, outils de suivi.</w:t>
            </w:r>
          </w:p>
        </w:tc>
      </w:tr>
      <w:tr w:rsidR="007B10D9" w:rsidRPr="00D1262F" w14:paraId="2894DA67" w14:textId="77777777" w:rsidTr="00487096">
        <w:tc>
          <w:tcPr>
            <w:tcW w:w="1951" w:type="dxa"/>
          </w:tcPr>
          <w:p w14:paraId="213B7391" w14:textId="074726BE" w:rsidR="007B10D9" w:rsidRPr="00D1262F" w:rsidRDefault="007B10D9" w:rsidP="007B10D9">
            <w:r>
              <w:t>Ecole</w:t>
            </w:r>
          </w:p>
        </w:tc>
        <w:tc>
          <w:tcPr>
            <w:tcW w:w="4111" w:type="dxa"/>
          </w:tcPr>
          <w:p w14:paraId="00CD4D35" w14:textId="434D611D" w:rsidR="007B10D9" w:rsidRPr="00D1262F" w:rsidRDefault="007B10D9" w:rsidP="007B10D9">
            <w:r w:rsidRPr="009069DB">
              <w:t>Il est attendu qu’elle soit exigeante, plus just</w:t>
            </w:r>
            <w:r w:rsidR="006615D1">
              <w:t>e et au cœur des valeurs de la R</w:t>
            </w:r>
            <w:r w:rsidRPr="009069DB">
              <w:t>épublique.</w:t>
            </w:r>
          </w:p>
        </w:tc>
        <w:tc>
          <w:tcPr>
            <w:tcW w:w="4394" w:type="dxa"/>
          </w:tcPr>
          <w:p w14:paraId="5F17A153" w14:textId="516E7460" w:rsidR="007B10D9" w:rsidRPr="00D1262F" w:rsidRDefault="007B10D9" w:rsidP="007B10D9">
            <w:r>
              <w:t>EMC, parcours Avenir, citoyen, artistique… santé, grille horaire, cérémonies républicaines.</w:t>
            </w:r>
          </w:p>
        </w:tc>
      </w:tr>
      <w:tr w:rsidR="007B10D9" w:rsidRPr="00D1262F" w14:paraId="79F3A987" w14:textId="77777777" w:rsidTr="00487096">
        <w:tc>
          <w:tcPr>
            <w:tcW w:w="1951" w:type="dxa"/>
          </w:tcPr>
          <w:p w14:paraId="718B59E9" w14:textId="08ED0027" w:rsidR="007B10D9" w:rsidRPr="00D1262F" w:rsidRDefault="007B10D9" w:rsidP="007B10D9">
            <w:r>
              <w:t>Faire sens</w:t>
            </w:r>
          </w:p>
        </w:tc>
        <w:tc>
          <w:tcPr>
            <w:tcW w:w="4111" w:type="dxa"/>
          </w:tcPr>
          <w:p w14:paraId="0A053E34" w14:textId="2CFAC638" w:rsidR="007B10D9" w:rsidRPr="00D1262F" w:rsidRDefault="007B10D9" w:rsidP="007B10D9">
            <w:r w:rsidRPr="009069DB">
              <w:t>Il s’agit de la rencontre entre le sens donné par le professeur et le sens trouvé par l’élève. Il est un vecteur de motivation et de prédisposition à apprendre.</w:t>
            </w:r>
          </w:p>
        </w:tc>
        <w:tc>
          <w:tcPr>
            <w:tcW w:w="4394" w:type="dxa"/>
          </w:tcPr>
          <w:p w14:paraId="062FFC6E" w14:textId="444184B8" w:rsidR="007B10D9" w:rsidRPr="00D1262F" w:rsidRDefault="007B10D9" w:rsidP="007B10D9">
            <w:r>
              <w:t>L’enseignant donne d’autant mieux du sens à son enseignement que celui-ci est personnalisé et concret. L’élève trouve d’autant plus de sens qu’il comprend ce qui lui est donné à apprendre. Cet enseignement correspond à ses préoccupations et/ou interrogations.</w:t>
            </w:r>
          </w:p>
        </w:tc>
      </w:tr>
      <w:tr w:rsidR="007B10D9" w:rsidRPr="00D1262F" w14:paraId="039A9542" w14:textId="77777777" w:rsidTr="00487096">
        <w:tc>
          <w:tcPr>
            <w:tcW w:w="1951" w:type="dxa"/>
          </w:tcPr>
          <w:p w14:paraId="13BB8845" w14:textId="67F44B93" w:rsidR="007B10D9" w:rsidRPr="00D1262F" w:rsidRDefault="007B10D9" w:rsidP="007B10D9">
            <w:r>
              <w:t>Interdisciplinaire</w:t>
            </w:r>
          </w:p>
        </w:tc>
        <w:tc>
          <w:tcPr>
            <w:tcW w:w="4111" w:type="dxa"/>
          </w:tcPr>
          <w:p w14:paraId="1C678C05" w14:textId="0A935F31" w:rsidR="007B10D9" w:rsidRPr="00D1262F" w:rsidRDefault="007B10D9" w:rsidP="007B10D9">
            <w:r w:rsidRPr="009069DB">
              <w:t>L’interdisciplinarité demande le dialogue et les échanges de</w:t>
            </w:r>
            <w:r w:rsidR="006615D1">
              <w:t>s</w:t>
            </w:r>
            <w:r w:rsidRPr="009069DB">
              <w:t xml:space="preserve"> connaissances, d'analyses, de méthodes entre deux ou plusieurs disciplines. Elle implique qu'il y ait des interactions et un enrichissement mutuel entre plusieurs « spécialistes ». </w:t>
            </w:r>
          </w:p>
        </w:tc>
        <w:tc>
          <w:tcPr>
            <w:tcW w:w="4394" w:type="dxa"/>
          </w:tcPr>
          <w:p w14:paraId="4553A468" w14:textId="77777777" w:rsidR="007B10D9" w:rsidRDefault="007B10D9" w:rsidP="007B10D9">
            <w:r>
              <w:t xml:space="preserve">Transdisciplinaire (savoir qui parcourt </w:t>
            </w:r>
            <w:r w:rsidRPr="009069DB">
              <w:t>divers espaces d’enseignement sans se soucier des frontières</w:t>
            </w:r>
            <w:r>
              <w:t xml:space="preserve">), </w:t>
            </w:r>
          </w:p>
          <w:p w14:paraId="24D7BDD7" w14:textId="34D702B9" w:rsidR="007B10D9" w:rsidRPr="00D1262F" w:rsidRDefault="007B10D9" w:rsidP="007B10D9">
            <w:r>
              <w:t>Pluridisciplinaire (rencontre autour d'un thème commun)</w:t>
            </w:r>
          </w:p>
        </w:tc>
      </w:tr>
      <w:tr w:rsidR="007B10D9" w:rsidRPr="00D1262F" w14:paraId="541721BD" w14:textId="77777777" w:rsidTr="00487096">
        <w:tc>
          <w:tcPr>
            <w:tcW w:w="1951" w:type="dxa"/>
          </w:tcPr>
          <w:p w14:paraId="5C5CC8A3" w14:textId="33A6D107" w:rsidR="007B10D9" w:rsidRPr="00D1262F" w:rsidRDefault="007B10D9" w:rsidP="007B10D9">
            <w:r>
              <w:t>Liberté pédagogique</w:t>
            </w:r>
          </w:p>
        </w:tc>
        <w:tc>
          <w:tcPr>
            <w:tcW w:w="4111" w:type="dxa"/>
          </w:tcPr>
          <w:p w14:paraId="6E89EFE0" w14:textId="22292415" w:rsidR="007B10D9" w:rsidRPr="00D1262F" w:rsidRDefault="007B10D9" w:rsidP="007B10D9">
            <w:r w:rsidRPr="009069DB">
              <w:t>Elle s’exerce dans un cadre contraint. Son usage constitue l’expertise du professeur. Elle est le plus grand vecteur de contextualisation de l’enseignement</w:t>
            </w:r>
          </w:p>
        </w:tc>
        <w:tc>
          <w:tcPr>
            <w:tcW w:w="4394" w:type="dxa"/>
          </w:tcPr>
          <w:p w14:paraId="3CC45C56" w14:textId="495337BC" w:rsidR="007B10D9" w:rsidRPr="00D1262F" w:rsidRDefault="007B10D9" w:rsidP="008052F7">
            <w:r>
              <w:t>Savoir</w:t>
            </w:r>
            <w:r w:rsidR="008052F7">
              <w:t>-</w:t>
            </w:r>
            <w:r>
              <w:t xml:space="preserve">faire de l’enseignant dans la formalisation d’un projet d’apprentissage et dans sa mise en </w:t>
            </w:r>
            <w:r w:rsidR="00F24418">
              <w:t>œuvre</w:t>
            </w:r>
            <w:r>
              <w:t xml:space="preserve"> en classe.</w:t>
            </w:r>
          </w:p>
        </w:tc>
      </w:tr>
      <w:tr w:rsidR="007B10D9" w:rsidRPr="00D1262F" w14:paraId="3451D9AF" w14:textId="77777777" w:rsidTr="00487096">
        <w:tc>
          <w:tcPr>
            <w:tcW w:w="1951" w:type="dxa"/>
          </w:tcPr>
          <w:p w14:paraId="167628FA" w14:textId="733E6DD8" w:rsidR="007B10D9" w:rsidRPr="00D1262F" w:rsidRDefault="007B10D9" w:rsidP="007B10D9">
            <w:r>
              <w:t>Métacognition</w:t>
            </w:r>
          </w:p>
        </w:tc>
        <w:tc>
          <w:tcPr>
            <w:tcW w:w="4111" w:type="dxa"/>
          </w:tcPr>
          <w:p w14:paraId="4E0EC614" w14:textId="1A438821" w:rsidR="007B10D9" w:rsidRPr="00D1262F" w:rsidRDefault="007B10D9" w:rsidP="007B10D9">
            <w:r w:rsidRPr="009069DB">
              <w:t>Elle constitue l’un des maillons de l’acquisition de compétences qui trouve sa place dans tous les espaces d’enseignement, peut-être plus encore dans le cadre de l’AP</w:t>
            </w:r>
          </w:p>
        </w:tc>
        <w:tc>
          <w:tcPr>
            <w:tcW w:w="4394" w:type="dxa"/>
          </w:tcPr>
          <w:p w14:paraId="27D1BD24" w14:textId="052AD519" w:rsidR="007B10D9" w:rsidRPr="00D1262F" w:rsidRDefault="007B10D9" w:rsidP="007B10D9">
            <w:r>
              <w:t>Activité d’analyse autoréflexive de l’élève sur son activité et son résultat.</w:t>
            </w:r>
          </w:p>
        </w:tc>
      </w:tr>
      <w:tr w:rsidR="007B10D9" w:rsidRPr="00D1262F" w14:paraId="5B025A71" w14:textId="77777777" w:rsidTr="00487096">
        <w:tc>
          <w:tcPr>
            <w:tcW w:w="1951" w:type="dxa"/>
          </w:tcPr>
          <w:p w14:paraId="4318CC9D" w14:textId="7C652A09" w:rsidR="007B10D9" w:rsidRPr="00D1262F" w:rsidRDefault="007B10D9" w:rsidP="007B10D9">
            <w:r>
              <w:t>Parcours</w:t>
            </w:r>
          </w:p>
        </w:tc>
        <w:tc>
          <w:tcPr>
            <w:tcW w:w="4111" w:type="dxa"/>
          </w:tcPr>
          <w:p w14:paraId="296E8C29" w14:textId="4368525B" w:rsidR="007B10D9" w:rsidRPr="00D1262F" w:rsidRDefault="007B10D9" w:rsidP="007B10D9">
            <w:r>
              <w:t>Il représente le chemin progressif, continu, cohérent, fluide, personnalisé et garant d’un diplôme</w:t>
            </w:r>
          </w:p>
        </w:tc>
        <w:tc>
          <w:tcPr>
            <w:tcW w:w="4394" w:type="dxa"/>
          </w:tcPr>
          <w:p w14:paraId="1103D4AB" w14:textId="7FFC6A7E" w:rsidR="007B10D9" w:rsidRPr="00D1262F" w:rsidRDefault="007B10D9" w:rsidP="007B10D9">
            <w:r>
              <w:t xml:space="preserve">Analyse de F. </w:t>
            </w:r>
            <w:proofErr w:type="spellStart"/>
            <w:r>
              <w:t>Dubry-Janot</w:t>
            </w:r>
            <w:proofErr w:type="spellEnd"/>
            <w:r>
              <w:t xml:space="preserve"> (IA-IPR HG)</w:t>
            </w:r>
          </w:p>
        </w:tc>
      </w:tr>
      <w:tr w:rsidR="007B10D9" w:rsidRPr="00D1262F" w14:paraId="71FC59A1" w14:textId="77777777" w:rsidTr="008052F7">
        <w:trPr>
          <w:cantSplit/>
        </w:trPr>
        <w:tc>
          <w:tcPr>
            <w:tcW w:w="1951" w:type="dxa"/>
          </w:tcPr>
          <w:p w14:paraId="04549558" w14:textId="1E959FE2" w:rsidR="007B10D9" w:rsidRPr="00D1262F" w:rsidRDefault="007B10D9" w:rsidP="007B10D9">
            <w:r>
              <w:lastRenderedPageBreak/>
              <w:t>Pédagogie de la confiance</w:t>
            </w:r>
          </w:p>
        </w:tc>
        <w:tc>
          <w:tcPr>
            <w:tcW w:w="4111" w:type="dxa"/>
          </w:tcPr>
          <w:p w14:paraId="3BF200D9" w14:textId="01398EE1" w:rsidR="007B10D9" w:rsidRPr="00D1262F" w:rsidRDefault="007B10D9" w:rsidP="007B10D9">
            <w:r>
              <w:t>Elle permet de dépasser l’écueil de la perte de confiance et de l’estime de soi qui réduit la disponibilité et la disposition à apprendre.</w:t>
            </w:r>
          </w:p>
        </w:tc>
        <w:tc>
          <w:tcPr>
            <w:tcW w:w="4394" w:type="dxa"/>
          </w:tcPr>
          <w:p w14:paraId="4E17614B" w14:textId="4456329A" w:rsidR="007B10D9" w:rsidRPr="00D1262F" w:rsidRDefault="007B10D9" w:rsidP="007B10D9">
            <w:r>
              <w:t xml:space="preserve">Relation pédagogique qui s’appuie sur le respect des temps et des rythmes de chacun pour </w:t>
            </w:r>
            <w:r w:rsidRPr="009069DB">
              <w:t>apprendre et sur la prise de conscience individuelle du chemin parcouru et des acquis</w:t>
            </w:r>
          </w:p>
        </w:tc>
      </w:tr>
      <w:tr w:rsidR="007B10D9" w:rsidRPr="00D1262F" w14:paraId="3D6AEFD6" w14:textId="77777777" w:rsidTr="00487096">
        <w:tc>
          <w:tcPr>
            <w:tcW w:w="1951" w:type="dxa"/>
          </w:tcPr>
          <w:p w14:paraId="79075817" w14:textId="664F0C88" w:rsidR="007B10D9" w:rsidRPr="00D1262F" w:rsidRDefault="007B10D9" w:rsidP="007B10D9">
            <w:r>
              <w:t>Pédagogie du projet</w:t>
            </w:r>
          </w:p>
        </w:tc>
        <w:tc>
          <w:tcPr>
            <w:tcW w:w="4111" w:type="dxa"/>
          </w:tcPr>
          <w:p w14:paraId="29CB6C0F" w14:textId="0B77BF4D" w:rsidR="007B10D9" w:rsidRPr="00D1262F" w:rsidRDefault="007B10D9" w:rsidP="007B10D9">
            <w:r>
              <w:t xml:space="preserve">Elle permet de renforcer la compréhension et la motivation de l’élève par </w:t>
            </w:r>
            <w:r w:rsidRPr="009069DB">
              <w:t>le caractère concret et visible de l’usage des connaissances ainsi construites.</w:t>
            </w:r>
          </w:p>
        </w:tc>
        <w:tc>
          <w:tcPr>
            <w:tcW w:w="4394" w:type="dxa"/>
          </w:tcPr>
          <w:p w14:paraId="7BFD3F1B" w14:textId="7527C2C7" w:rsidR="007B10D9" w:rsidRPr="00C74FDE" w:rsidRDefault="007B10D9" w:rsidP="007B10D9">
            <w:r>
              <w:rPr>
                <w:rStyle w:val="st"/>
                <w:rFonts w:eastAsia="Times New Roman" w:cstheme="minorBidi"/>
              </w:rPr>
              <w:t>Mise en situation d’activit</w:t>
            </w:r>
            <w:r>
              <w:rPr>
                <w:rStyle w:val="st"/>
                <w:rFonts w:eastAsia="Times New Roman" w:cstheme="minorBidi" w:hint="eastAsia"/>
              </w:rPr>
              <w:t xml:space="preserve">é </w:t>
            </w:r>
            <w:r>
              <w:rPr>
                <w:rStyle w:val="st"/>
                <w:rFonts w:eastAsia="Times New Roman" w:cstheme="minorBidi"/>
              </w:rPr>
              <w:t xml:space="preserve">des </w:t>
            </w:r>
            <w:r>
              <w:rPr>
                <w:rStyle w:val="st"/>
                <w:rFonts w:eastAsia="Times New Roman" w:cstheme="minorBidi" w:hint="eastAsia"/>
              </w:rPr>
              <w:t>élèv</w:t>
            </w:r>
            <w:r>
              <w:rPr>
                <w:rStyle w:val="st"/>
                <w:rFonts w:eastAsia="Times New Roman" w:cstheme="minorBidi"/>
              </w:rPr>
              <w:t xml:space="preserve">es qui permet de générer des apprentissages </w:t>
            </w:r>
            <w:r>
              <w:rPr>
                <w:rStyle w:val="st"/>
                <w:rFonts w:eastAsia="Times New Roman" w:cstheme="minorBidi" w:hint="eastAsia"/>
              </w:rPr>
              <w:t xml:space="preserve">à </w:t>
            </w:r>
            <w:r>
              <w:rPr>
                <w:rStyle w:val="st"/>
                <w:rFonts w:eastAsia="Times New Roman" w:cstheme="minorBidi"/>
              </w:rPr>
              <w:t>travers la r</w:t>
            </w:r>
            <w:r>
              <w:rPr>
                <w:rStyle w:val="st"/>
                <w:rFonts w:eastAsia="Times New Roman" w:cstheme="minorBidi" w:hint="eastAsia"/>
              </w:rPr>
              <w:t>éa</w:t>
            </w:r>
            <w:r>
              <w:rPr>
                <w:rStyle w:val="st"/>
                <w:rFonts w:eastAsia="Times New Roman" w:cstheme="minorBidi"/>
              </w:rPr>
              <w:t>lisation d'une production concrète.</w:t>
            </w:r>
          </w:p>
        </w:tc>
      </w:tr>
      <w:tr w:rsidR="007B10D9" w:rsidRPr="00D1262F" w14:paraId="442D869D" w14:textId="77777777" w:rsidTr="00487096">
        <w:tc>
          <w:tcPr>
            <w:tcW w:w="1951" w:type="dxa"/>
          </w:tcPr>
          <w:p w14:paraId="4A7FB67D" w14:textId="669DE4C3" w:rsidR="007B10D9" w:rsidRPr="00D1262F" w:rsidRDefault="007B10D9" w:rsidP="007B10D9">
            <w:r>
              <w:t xml:space="preserve">Projet   </w:t>
            </w:r>
          </w:p>
        </w:tc>
        <w:tc>
          <w:tcPr>
            <w:tcW w:w="4111" w:type="dxa"/>
          </w:tcPr>
          <w:p w14:paraId="2088B9C5" w14:textId="7C77D88E" w:rsidR="007B10D9" w:rsidRPr="00D1262F" w:rsidRDefault="007B10D9" w:rsidP="007B10D9">
            <w:r>
              <w:t>Il permet de passer de l’action à l’intention d’enseigner, de l’animation à l’apprentissage.</w:t>
            </w:r>
          </w:p>
        </w:tc>
        <w:tc>
          <w:tcPr>
            <w:tcW w:w="4394" w:type="dxa"/>
          </w:tcPr>
          <w:p w14:paraId="384B84AC" w14:textId="64281354" w:rsidR="007B10D9" w:rsidRPr="00D1262F" w:rsidRDefault="007B10D9" w:rsidP="00F24418">
            <w:r>
              <w:t>Document de travail qui identifie l’objet d’apprentissage correspondant à un ou des besoins d’un public en particulier, les démarches et moyens de mettre en œuvre son enseignement et les modalités d’évaluation</w:t>
            </w:r>
          </w:p>
        </w:tc>
      </w:tr>
      <w:tr w:rsidR="006615D1" w:rsidRPr="00D1262F" w14:paraId="161FCDF9" w14:textId="77777777" w:rsidTr="00487096">
        <w:tc>
          <w:tcPr>
            <w:tcW w:w="1951" w:type="dxa"/>
          </w:tcPr>
          <w:p w14:paraId="31699FAA" w14:textId="0065FA8E" w:rsidR="006615D1" w:rsidRDefault="006615D1" w:rsidP="006615D1">
            <w:r>
              <w:t>S</w:t>
            </w:r>
            <w:r w:rsidRPr="00D1262F">
              <w:t>colarité obligatoire</w:t>
            </w:r>
          </w:p>
        </w:tc>
        <w:tc>
          <w:tcPr>
            <w:tcW w:w="4111" w:type="dxa"/>
          </w:tcPr>
          <w:p w14:paraId="3C1F1540" w14:textId="6349D467" w:rsidR="006615D1" w:rsidRDefault="006615D1" w:rsidP="006615D1">
            <w:r>
              <w:t>Elle est l</w:t>
            </w:r>
            <w:r w:rsidRPr="00D1262F">
              <w:t>’affaire de tous, conjointement, équipe pédagogique mais aussi éducative, les partenaires et les parents, pour et par les élèves, pour une culture scolaire commune</w:t>
            </w:r>
            <w:r>
              <w:t>.</w:t>
            </w:r>
          </w:p>
        </w:tc>
        <w:tc>
          <w:tcPr>
            <w:tcW w:w="4394" w:type="dxa"/>
          </w:tcPr>
          <w:p w14:paraId="0F7EFF96" w14:textId="2441A405" w:rsidR="006615D1" w:rsidRDefault="00F24418" w:rsidP="006615D1">
            <w:r>
              <w:t>S</w:t>
            </w:r>
            <w:r w:rsidR="006615D1" w:rsidRPr="00D1262F">
              <w:t>ocle commun auquel contribue l'ensemble des enseignements dispensés au cours de la scolarité, finalité de l’école obligatoire sur les  dix années fondamentales de la vie et de la formation des enfants, de six à seize ans</w:t>
            </w:r>
          </w:p>
        </w:tc>
      </w:tr>
      <w:tr w:rsidR="006615D1" w:rsidRPr="00D1262F" w14:paraId="63DC3EB7" w14:textId="77777777" w:rsidTr="00487096">
        <w:tc>
          <w:tcPr>
            <w:tcW w:w="1951" w:type="dxa"/>
          </w:tcPr>
          <w:p w14:paraId="4F400A68" w14:textId="7C06BA62" w:rsidR="006615D1" w:rsidRDefault="006615D1" w:rsidP="006615D1">
            <w:r>
              <w:t>Situation complexe</w:t>
            </w:r>
          </w:p>
        </w:tc>
        <w:tc>
          <w:tcPr>
            <w:tcW w:w="4111" w:type="dxa"/>
          </w:tcPr>
          <w:p w14:paraId="66DC166A" w14:textId="5EC75560" w:rsidR="006615D1" w:rsidRDefault="006615D1" w:rsidP="006615D1">
            <w:r>
              <w:t>Elle s’appuie sur des tâches proposées à l’élève pour que celui-ci développe une stratégie de résolution  personnelle qui mobilise un ensemble de ressources. Une tâche peut être complexe sans être difficile. La difficulté</w:t>
            </w:r>
            <w:r w:rsidR="00BF2CB2">
              <w:t xml:space="preserve"> est relative à celui qui la vit</w:t>
            </w:r>
            <w:r>
              <w:t>. Elle peut conduire à l’échec si la résolution de la tâche n’est pas atteinte.</w:t>
            </w:r>
          </w:p>
        </w:tc>
        <w:tc>
          <w:tcPr>
            <w:tcW w:w="4394" w:type="dxa"/>
          </w:tcPr>
          <w:p w14:paraId="2BCED00A" w14:textId="188E088E" w:rsidR="006615D1" w:rsidRDefault="006615D1" w:rsidP="006615D1">
            <w:r>
              <w:t>Situation complexe : contexte d’usage de connaissances issu</w:t>
            </w:r>
            <w:r w:rsidR="008052F7">
              <w:t>e</w:t>
            </w:r>
            <w:r>
              <w:t xml:space="preserve">s de champs différents. </w:t>
            </w:r>
          </w:p>
          <w:p w14:paraId="380FDCCF" w14:textId="77777777" w:rsidR="006615D1" w:rsidRDefault="006615D1" w:rsidP="006615D1">
            <w:r>
              <w:t>Difficulté : distance à la zone proximale de développement</w:t>
            </w:r>
          </w:p>
          <w:p w14:paraId="2454CA29" w14:textId="5396CE7C" w:rsidR="006615D1" w:rsidRDefault="006615D1" w:rsidP="006615D1">
            <w:r>
              <w:t>Echec : difficulté non dépassée</w:t>
            </w:r>
          </w:p>
        </w:tc>
      </w:tr>
      <w:tr w:rsidR="006615D1" w:rsidRPr="00D1262F" w14:paraId="691175BD" w14:textId="77777777" w:rsidTr="00487096">
        <w:tc>
          <w:tcPr>
            <w:tcW w:w="1951" w:type="dxa"/>
          </w:tcPr>
          <w:p w14:paraId="266CFAA9" w14:textId="0D859010" w:rsidR="006615D1" w:rsidRDefault="006615D1" w:rsidP="006615D1">
            <w:r w:rsidRPr="00D1262F">
              <w:t>Socle commun</w:t>
            </w:r>
          </w:p>
        </w:tc>
        <w:tc>
          <w:tcPr>
            <w:tcW w:w="4111" w:type="dxa"/>
          </w:tcPr>
          <w:p w14:paraId="3DD8EB87" w14:textId="662E5A00" w:rsidR="006615D1" w:rsidRDefault="006615D1" w:rsidP="006615D1">
            <w:r w:rsidRPr="00D1262F">
              <w:t>Scola</w:t>
            </w:r>
            <w:r w:rsidR="00E977D1">
              <w:t xml:space="preserve">rité obligatoire de 10M d’élèves </w:t>
            </w:r>
            <w:r w:rsidRPr="00D1262F">
              <w:t xml:space="preserve">dont 1/5 qui ne </w:t>
            </w:r>
            <w:r>
              <w:t xml:space="preserve">maîtrise pas les fondamentaux dans le contexte </w:t>
            </w:r>
            <w:r w:rsidRPr="00D1262F">
              <w:t xml:space="preserve"> </w:t>
            </w:r>
            <w:r>
              <w:t>d’une grande pauvreté en hausse avec</w:t>
            </w:r>
            <w:r w:rsidRPr="00D1262F">
              <w:t xml:space="preserve"> des écarts qui se creusent entre l’élite et les autres</w:t>
            </w:r>
            <w:r>
              <w:t>.</w:t>
            </w:r>
          </w:p>
        </w:tc>
        <w:tc>
          <w:tcPr>
            <w:tcW w:w="4394" w:type="dxa"/>
          </w:tcPr>
          <w:p w14:paraId="55613A19" w14:textId="77777777" w:rsidR="006615D1" w:rsidRPr="00D1262F" w:rsidRDefault="006615D1" w:rsidP="006615D1">
            <w:r w:rsidRPr="00D1262F">
              <w:t>Atlas académique des risques sociaux d’échec scolaire</w:t>
            </w:r>
          </w:p>
          <w:p w14:paraId="0DFEBA96" w14:textId="3B92ECEA" w:rsidR="006615D1" w:rsidRPr="00D1262F" w:rsidRDefault="006615D1" w:rsidP="006615D1">
            <w:r w:rsidRPr="00D1262F">
              <w:t>Rapport Delahay</w:t>
            </w:r>
            <w:r w:rsidR="00F24418">
              <w:t>e</w:t>
            </w:r>
            <w:r w:rsidRPr="00D1262F">
              <w:t xml:space="preserve"> (mars 2015)</w:t>
            </w:r>
          </w:p>
          <w:p w14:paraId="45D0747B" w14:textId="0048B662" w:rsidR="006615D1" w:rsidRDefault="006615D1" w:rsidP="006615D1">
            <w:r w:rsidRPr="00D1262F">
              <w:t>Réforme de l’Éducation Prioritaire</w:t>
            </w:r>
          </w:p>
        </w:tc>
      </w:tr>
    </w:tbl>
    <w:p w14:paraId="044A8F27" w14:textId="77777777" w:rsidR="00872802" w:rsidRDefault="00872802">
      <w:r>
        <w:br w:type="page"/>
      </w:r>
    </w:p>
    <w:tbl>
      <w:tblPr>
        <w:tblStyle w:val="Grille"/>
        <w:tblpPr w:leftFromText="141" w:rightFromText="141" w:horzAnchor="page" w:tblpX="782" w:tblpY="-673"/>
        <w:tblW w:w="10456" w:type="dxa"/>
        <w:tblLayout w:type="fixed"/>
        <w:tblLook w:val="04A0" w:firstRow="1" w:lastRow="0" w:firstColumn="1" w:lastColumn="0" w:noHBand="0" w:noVBand="1"/>
      </w:tblPr>
      <w:tblGrid>
        <w:gridCol w:w="2235"/>
        <w:gridCol w:w="3827"/>
        <w:gridCol w:w="4394"/>
      </w:tblGrid>
      <w:tr w:rsidR="00872802" w:rsidRPr="004A32B0" w14:paraId="4AC706F4" w14:textId="77777777" w:rsidTr="00487096">
        <w:tc>
          <w:tcPr>
            <w:tcW w:w="10456" w:type="dxa"/>
            <w:gridSpan w:val="3"/>
            <w:shd w:val="clear" w:color="auto" w:fill="CCFFCC"/>
          </w:tcPr>
          <w:p w14:paraId="3B627248" w14:textId="77777777" w:rsidR="00872802" w:rsidRPr="004A32B0" w:rsidRDefault="00872802" w:rsidP="00487096">
            <w:pPr>
              <w:jc w:val="center"/>
              <w:rPr>
                <w:b/>
              </w:rPr>
            </w:pPr>
            <w:r>
              <w:rPr>
                <w:b/>
              </w:rPr>
              <w:lastRenderedPageBreak/>
              <w:t xml:space="preserve">Notions qui demandent un changement de paradigme </w:t>
            </w:r>
          </w:p>
        </w:tc>
      </w:tr>
      <w:tr w:rsidR="00872802" w:rsidRPr="00D1262F" w14:paraId="7BC94058" w14:textId="77777777" w:rsidTr="00487096">
        <w:tc>
          <w:tcPr>
            <w:tcW w:w="2235" w:type="dxa"/>
          </w:tcPr>
          <w:p w14:paraId="50628D77" w14:textId="77777777" w:rsidR="00872802" w:rsidRPr="00D1262F" w:rsidRDefault="00872802" w:rsidP="00487096">
            <w:r w:rsidRPr="00D1262F">
              <w:t>Accompagnement</w:t>
            </w:r>
          </w:p>
        </w:tc>
        <w:tc>
          <w:tcPr>
            <w:tcW w:w="3827" w:type="dxa"/>
          </w:tcPr>
          <w:p w14:paraId="6FD9EB5D" w14:textId="20231C25" w:rsidR="00872802" w:rsidRPr="00D1262F" w:rsidRDefault="00872802" w:rsidP="00487096">
            <w:r>
              <w:t>Évoluer d</w:t>
            </w:r>
            <w:r w:rsidRPr="00D1262F">
              <w:t xml:space="preserve">’un collège pour tous </w:t>
            </w:r>
            <w:r w:rsidR="00BF2CB2">
              <w:t xml:space="preserve">qui </w:t>
            </w:r>
            <w:r w:rsidRPr="00D1262F">
              <w:t>produit de l’échec et du décrochage à un collège qui porte le parcours d’apprentissage de l’élève de l’école au lycée</w:t>
            </w:r>
          </w:p>
        </w:tc>
        <w:tc>
          <w:tcPr>
            <w:tcW w:w="4394" w:type="dxa"/>
          </w:tcPr>
          <w:p w14:paraId="16274686" w14:textId="77777777" w:rsidR="00872802" w:rsidRPr="00D1262F" w:rsidRDefault="00872802" w:rsidP="00487096">
            <w:r w:rsidRPr="00D1262F">
              <w:t xml:space="preserve">Doc ressource </w:t>
            </w:r>
            <w:r>
              <w:t xml:space="preserve">académique </w:t>
            </w:r>
            <w:r w:rsidRPr="00D1262F">
              <w:t>sur le CEC, pages MDLS, journée</w:t>
            </w:r>
            <w:r>
              <w:t>s</w:t>
            </w:r>
            <w:r w:rsidRPr="00D1262F">
              <w:t xml:space="preserve"> académique</w:t>
            </w:r>
            <w:r>
              <w:t>s</w:t>
            </w:r>
            <w:r w:rsidRPr="00D1262F">
              <w:t xml:space="preserve"> décrochage-MDL, DVD </w:t>
            </w:r>
            <w:r>
              <w:t xml:space="preserve">sur les </w:t>
            </w:r>
            <w:r w:rsidRPr="00D1262F">
              <w:t>décrocheurs, les revues échanger et revue e-novEPS n°9</w:t>
            </w:r>
          </w:p>
        </w:tc>
      </w:tr>
      <w:tr w:rsidR="00872802" w:rsidRPr="00D1262F" w14:paraId="1F65BB31" w14:textId="77777777" w:rsidTr="00487096">
        <w:tc>
          <w:tcPr>
            <w:tcW w:w="2235" w:type="dxa"/>
          </w:tcPr>
          <w:p w14:paraId="72B65C9D" w14:textId="77777777" w:rsidR="00872802" w:rsidRPr="00D1262F" w:rsidRDefault="00872802" w:rsidP="00487096">
            <w:r w:rsidRPr="00D1262F">
              <w:t>Collège</w:t>
            </w:r>
          </w:p>
        </w:tc>
        <w:tc>
          <w:tcPr>
            <w:tcW w:w="3827" w:type="dxa"/>
          </w:tcPr>
          <w:p w14:paraId="590BDB8F" w14:textId="77777777" w:rsidR="00872802" w:rsidRPr="00D1262F" w:rsidRDefault="00872802" w:rsidP="00487096">
            <w:r>
              <w:t>Lieu d’absence</w:t>
            </w:r>
            <w:r w:rsidRPr="00D1262F">
              <w:t xml:space="preserve"> de toute hiérarchie et stigmatisation par une attention donnée</w:t>
            </w:r>
            <w:r>
              <w:t>s aux plus fragiles à l’aide de</w:t>
            </w:r>
            <w:r w:rsidRPr="00D1262F">
              <w:t xml:space="preserve"> méthodes d’enseignement rénovées</w:t>
            </w:r>
          </w:p>
        </w:tc>
        <w:tc>
          <w:tcPr>
            <w:tcW w:w="4394" w:type="dxa"/>
          </w:tcPr>
          <w:p w14:paraId="36F2E5C6" w14:textId="77777777" w:rsidR="00872802" w:rsidRPr="00D1262F" w:rsidRDefault="00872802" w:rsidP="00487096">
            <w:r>
              <w:t>Le collège devient u</w:t>
            </w:r>
            <w:r w:rsidRPr="00D1262F">
              <w:t>n lieu pour tous et chacun qui accompagne l’élève dans son parcours d’apprentissage garantissant la validation des compétences du SCCC</w:t>
            </w:r>
          </w:p>
        </w:tc>
      </w:tr>
      <w:tr w:rsidR="00872802" w:rsidRPr="00D1262F" w14:paraId="0F3640DE" w14:textId="77777777" w:rsidTr="00487096">
        <w:tc>
          <w:tcPr>
            <w:tcW w:w="2235" w:type="dxa"/>
          </w:tcPr>
          <w:p w14:paraId="1CCB0D9C" w14:textId="77777777" w:rsidR="00872802" w:rsidRPr="00D1262F" w:rsidRDefault="00872802" w:rsidP="00487096">
            <w:r>
              <w:t xml:space="preserve">Consolidation/ Approfondissement </w:t>
            </w:r>
          </w:p>
        </w:tc>
        <w:tc>
          <w:tcPr>
            <w:tcW w:w="3827" w:type="dxa"/>
          </w:tcPr>
          <w:p w14:paraId="34D5E61A" w14:textId="4B42774A" w:rsidR="00872802" w:rsidRPr="00D1262F" w:rsidRDefault="00872802" w:rsidP="00487096">
            <w:r>
              <w:t>Approche curriculaire et spi</w:t>
            </w:r>
            <w:r w:rsidR="0082461A">
              <w:t>ra</w:t>
            </w:r>
            <w:r>
              <w:t>laire des cycle</w:t>
            </w:r>
            <w:r w:rsidR="0082461A">
              <w:t>s</w:t>
            </w:r>
            <w:r>
              <w:t xml:space="preserve"> 3 et 4 </w:t>
            </w:r>
          </w:p>
        </w:tc>
        <w:tc>
          <w:tcPr>
            <w:tcW w:w="4394" w:type="dxa"/>
          </w:tcPr>
          <w:p w14:paraId="0CE9316A" w14:textId="77777777" w:rsidR="00872802" w:rsidRDefault="00872802" w:rsidP="00487096">
            <w:r>
              <w:t>Consolidation : facilitation de la compréhension et de la mémorisation par un travail de mise relation d’éléments antérieurement abordés</w:t>
            </w:r>
          </w:p>
          <w:p w14:paraId="69196B4C" w14:textId="77777777" w:rsidR="00872802" w:rsidRPr="00D1262F" w:rsidRDefault="00872802" w:rsidP="00487096">
            <w:r>
              <w:t>Approfondissement : exploration, étude et affinement des objets d’apprentissage</w:t>
            </w:r>
          </w:p>
        </w:tc>
      </w:tr>
      <w:tr w:rsidR="00872802" w:rsidRPr="00D1262F" w14:paraId="652258D1" w14:textId="77777777" w:rsidTr="00487096">
        <w:trPr>
          <w:trHeight w:val="1765"/>
        </w:trPr>
        <w:tc>
          <w:tcPr>
            <w:tcW w:w="2235" w:type="dxa"/>
          </w:tcPr>
          <w:p w14:paraId="2F633A99" w14:textId="77777777" w:rsidR="00872802" w:rsidRPr="00D1262F" w:rsidRDefault="00872802" w:rsidP="00487096">
            <w:r>
              <w:t>C</w:t>
            </w:r>
            <w:r w:rsidRPr="00D1262F">
              <w:t>urriculaire</w:t>
            </w:r>
            <w:r>
              <w:t xml:space="preserve"> / spiralaire</w:t>
            </w:r>
          </w:p>
        </w:tc>
        <w:tc>
          <w:tcPr>
            <w:tcW w:w="3827" w:type="dxa"/>
          </w:tcPr>
          <w:p w14:paraId="0CCBD108" w14:textId="77777777" w:rsidR="00872802" w:rsidRPr="00D1262F" w:rsidRDefault="00872802" w:rsidP="00487096">
            <w:r>
              <w:t xml:space="preserve">Il est question de </w:t>
            </w:r>
            <w:r w:rsidRPr="00D1262F">
              <w:t>notion</w:t>
            </w:r>
            <w:r>
              <w:t>s</w:t>
            </w:r>
            <w:r w:rsidRPr="00D1262F">
              <w:t xml:space="preserve"> qui englobe</w:t>
            </w:r>
            <w:r>
              <w:t>nt</w:t>
            </w:r>
            <w:r w:rsidRPr="00D1262F">
              <w:t xml:space="preserve"> à la fois le programme, ce que les élèves doivent apprendre, les méthodes d'ensei</w:t>
            </w:r>
            <w:r>
              <w:t>gnement et la manière d'évaluer. Il s’agit d’une approche de la formation des élèves plus globale que celle des programmes.</w:t>
            </w:r>
          </w:p>
        </w:tc>
        <w:tc>
          <w:tcPr>
            <w:tcW w:w="4394" w:type="dxa"/>
          </w:tcPr>
          <w:p w14:paraId="021EE465" w14:textId="77777777" w:rsidR="00872802" w:rsidRPr="00D1262F" w:rsidRDefault="00872802" w:rsidP="00487096">
            <w:r>
              <w:t>Cursus :</w:t>
            </w:r>
            <w:r w:rsidRPr="00D1262F">
              <w:t xml:space="preserve"> trajet défini par l’institution</w:t>
            </w:r>
          </w:p>
          <w:p w14:paraId="762CAAEA" w14:textId="77777777" w:rsidR="00872802" w:rsidRPr="00D1262F" w:rsidRDefault="00872802" w:rsidP="00487096">
            <w:r>
              <w:t>Curriculum :</w:t>
            </w:r>
            <w:r w:rsidRPr="00D1262F">
              <w:t xml:space="preserve"> trajet adapté par l’enseignant</w:t>
            </w:r>
          </w:p>
          <w:p w14:paraId="2AA5C401" w14:textId="77777777" w:rsidR="00872802" w:rsidRPr="00D1262F" w:rsidRDefault="00872802" w:rsidP="00487096">
            <w:r>
              <w:t xml:space="preserve">Parcours : </w:t>
            </w:r>
            <w:r w:rsidRPr="00D1262F">
              <w:t xml:space="preserve">trajet réalisé par l’élève </w:t>
            </w:r>
          </w:p>
          <w:p w14:paraId="345D219F" w14:textId="77777777" w:rsidR="00872802" w:rsidRPr="00D1262F" w:rsidRDefault="00872802" w:rsidP="00487096">
            <w:r w:rsidRPr="00D1262F">
              <w:t xml:space="preserve">Dimension  spiralaire : revenir </w:t>
            </w:r>
            <w:r>
              <w:t xml:space="preserve">sur des notions similaires </w:t>
            </w:r>
            <w:r w:rsidRPr="00D1262F">
              <w:t xml:space="preserve">en </w:t>
            </w:r>
            <w:r>
              <w:t xml:space="preserve">les </w:t>
            </w:r>
            <w:r w:rsidRPr="00D1262F">
              <w:t xml:space="preserve">approfondissant à chaque passage. </w:t>
            </w:r>
          </w:p>
          <w:p w14:paraId="73DFA0A2" w14:textId="77777777" w:rsidR="00872802" w:rsidRPr="00D1262F" w:rsidRDefault="00872802" w:rsidP="00487096"/>
        </w:tc>
      </w:tr>
      <w:tr w:rsidR="00872802" w:rsidRPr="00D1262F" w14:paraId="514EAC85" w14:textId="77777777" w:rsidTr="00487096">
        <w:tc>
          <w:tcPr>
            <w:tcW w:w="2235" w:type="dxa"/>
          </w:tcPr>
          <w:p w14:paraId="71B62E67" w14:textId="77777777" w:rsidR="00872802" w:rsidRPr="00D1262F" w:rsidRDefault="00872802" w:rsidP="00487096">
            <w:r w:rsidRPr="00D1262F">
              <w:t>Cycle</w:t>
            </w:r>
          </w:p>
        </w:tc>
        <w:tc>
          <w:tcPr>
            <w:tcW w:w="3827" w:type="dxa"/>
          </w:tcPr>
          <w:p w14:paraId="751F1582" w14:textId="7DFB69DD" w:rsidR="00872802" w:rsidRPr="00D1262F" w:rsidRDefault="00872802" w:rsidP="00487096">
            <w:r>
              <w:t>Il vise à r</w:t>
            </w:r>
            <w:r w:rsidRPr="00D1262F">
              <w:t>especte</w:t>
            </w:r>
            <w:r w:rsidR="00BF2CB2">
              <w:t>r</w:t>
            </w:r>
            <w:r w:rsidRPr="00D1262F">
              <w:t xml:space="preserve"> les temps et rythme</w:t>
            </w:r>
            <w:r>
              <w:t>s</w:t>
            </w:r>
            <w:r w:rsidRPr="00D1262F">
              <w:t xml:space="preserve"> d’apprentissage de chacun, pas de redoublement, pas de retour à une a</w:t>
            </w:r>
            <w:r>
              <w:t>nnualisation des acquisitions. L</w:t>
            </w:r>
            <w:r w:rsidRPr="00D1262F">
              <w:t>’objet est de donner du temps aux élèves</w:t>
            </w:r>
            <w:r>
              <w:t xml:space="preserve"> pour apprendre.</w:t>
            </w:r>
          </w:p>
        </w:tc>
        <w:tc>
          <w:tcPr>
            <w:tcW w:w="4394" w:type="dxa"/>
          </w:tcPr>
          <w:p w14:paraId="4489123D" w14:textId="77777777" w:rsidR="00872802" w:rsidRDefault="00872802" w:rsidP="00487096">
            <w:r w:rsidRPr="00D1262F">
              <w:t xml:space="preserve">Décret sur les cycles d’enseignement, </w:t>
            </w:r>
          </w:p>
          <w:p w14:paraId="598D8B4B" w14:textId="77777777" w:rsidR="00872802" w:rsidRDefault="00872802" w:rsidP="00487096">
            <w:r w:rsidRPr="00D1262F">
              <w:t xml:space="preserve">des évaluations de fin de cycle, </w:t>
            </w:r>
          </w:p>
          <w:p w14:paraId="2625B3FC" w14:textId="77777777" w:rsidR="00872802" w:rsidRPr="00D1262F" w:rsidRDefault="00872802" w:rsidP="00487096">
            <w:r w:rsidRPr="00D1262F">
              <w:t>des conseils de cycle</w:t>
            </w:r>
          </w:p>
          <w:p w14:paraId="0F768811" w14:textId="77777777" w:rsidR="00872802" w:rsidRPr="00D1262F" w:rsidRDefault="00872802" w:rsidP="00487096"/>
        </w:tc>
      </w:tr>
      <w:tr w:rsidR="00872802" w:rsidRPr="00D1262F" w14:paraId="46360E06" w14:textId="77777777" w:rsidTr="00487096">
        <w:tc>
          <w:tcPr>
            <w:tcW w:w="2235" w:type="dxa"/>
          </w:tcPr>
          <w:p w14:paraId="523D5AEF" w14:textId="77777777" w:rsidR="00872802" w:rsidRPr="00D1262F" w:rsidRDefault="00872802" w:rsidP="00487096">
            <w:r w:rsidRPr="00D1262F">
              <w:t>EPLE</w:t>
            </w:r>
          </w:p>
        </w:tc>
        <w:tc>
          <w:tcPr>
            <w:tcW w:w="3827" w:type="dxa"/>
          </w:tcPr>
          <w:p w14:paraId="16D65CE4" w14:textId="77777777" w:rsidR="00872802" w:rsidRPr="00D1262F" w:rsidRDefault="00872802" w:rsidP="00487096">
            <w:r w:rsidRPr="00D1262F">
              <w:t>C’est le terrain qui fait le changement et non le ministère</w:t>
            </w:r>
          </w:p>
        </w:tc>
        <w:tc>
          <w:tcPr>
            <w:tcW w:w="4394" w:type="dxa"/>
          </w:tcPr>
          <w:p w14:paraId="38B6570B" w14:textId="68A3FEA0" w:rsidR="00872802" w:rsidRPr="00D1262F" w:rsidRDefault="00872802" w:rsidP="00487096">
            <w:r w:rsidRPr="00D1262F">
              <w:t>La réforme du c</w:t>
            </w:r>
            <w:r>
              <w:t>ollège demande au</w:t>
            </w:r>
            <w:r w:rsidR="00F24418">
              <w:t>x</w:t>
            </w:r>
            <w:r>
              <w:t xml:space="preserve"> EPLE </w:t>
            </w:r>
            <w:r w:rsidR="00F24418">
              <w:t xml:space="preserve">de </w:t>
            </w:r>
            <w:r>
              <w:t>bâtir un</w:t>
            </w:r>
            <w:r w:rsidRPr="00D1262F">
              <w:t xml:space="preserve"> nouveau collège</w:t>
            </w:r>
          </w:p>
        </w:tc>
      </w:tr>
      <w:tr w:rsidR="00872802" w:rsidRPr="00D1262F" w14:paraId="2D84767F" w14:textId="77777777" w:rsidTr="00487096">
        <w:trPr>
          <w:trHeight w:val="3312"/>
        </w:trPr>
        <w:tc>
          <w:tcPr>
            <w:tcW w:w="2235" w:type="dxa"/>
          </w:tcPr>
          <w:p w14:paraId="22C4CB88" w14:textId="77777777" w:rsidR="00872802" w:rsidRPr="00D1262F" w:rsidRDefault="00872802" w:rsidP="00487096">
            <w:r w:rsidRPr="00D1262F">
              <w:t>Evaluation</w:t>
            </w:r>
          </w:p>
        </w:tc>
        <w:tc>
          <w:tcPr>
            <w:tcW w:w="3827" w:type="dxa"/>
          </w:tcPr>
          <w:p w14:paraId="72C0E197" w14:textId="77777777" w:rsidR="00872802" w:rsidRDefault="00872802" w:rsidP="00487096">
            <w:r>
              <w:t>Elle se décline de deux manières : l’évaluation d</w:t>
            </w:r>
            <w:r w:rsidRPr="00D1262F">
              <w:t>es progrès en partant de l’existant et du potentiel des élèves</w:t>
            </w:r>
            <w:r>
              <w:t>,</w:t>
            </w:r>
          </w:p>
          <w:p w14:paraId="6C9B5F1B" w14:textId="31194CDB" w:rsidR="00872802" w:rsidRPr="00D1262F" w:rsidRDefault="0082461A" w:rsidP="0082461A">
            <w:r>
              <w:t>l</w:t>
            </w:r>
            <w:r w:rsidR="00872802">
              <w:t>’évaluation</w:t>
            </w:r>
            <w:r w:rsidR="00872802" w:rsidRPr="00D1262F">
              <w:t xml:space="preserve"> des acquis qui permet le  suivi des apprentissages</w:t>
            </w:r>
            <w:r w:rsidR="00872802">
              <w:t>. Elle doit être positive pour encourager et renforcer la confiance en soi et l’envie d’apprendre. Pour ce faire, elle pointe le positif et les acquis plus</w:t>
            </w:r>
            <w:r>
              <w:t xml:space="preserve"> que les erreurs et les manques. Elle est non</w:t>
            </w:r>
            <w:r w:rsidR="00872802" w:rsidRPr="00D1262F">
              <w:t xml:space="preserve"> </w:t>
            </w:r>
            <w:proofErr w:type="spellStart"/>
            <w:r w:rsidR="00872802" w:rsidRPr="00D1262F">
              <w:t>hiérarchisant</w:t>
            </w:r>
            <w:r>
              <w:t>e</w:t>
            </w:r>
            <w:proofErr w:type="spellEnd"/>
            <w:r w:rsidR="00872802" w:rsidRPr="00D1262F">
              <w:t xml:space="preserve"> et </w:t>
            </w:r>
            <w:r w:rsidR="00BF2CB2">
              <w:t xml:space="preserve">non </w:t>
            </w:r>
            <w:proofErr w:type="spellStart"/>
            <w:r w:rsidR="00872802">
              <w:t>stigmatisante</w:t>
            </w:r>
            <w:proofErr w:type="spellEnd"/>
            <w:r w:rsidR="00872802">
              <w:t>. Elle</w:t>
            </w:r>
            <w:r w:rsidR="00872802" w:rsidRPr="00D1262F">
              <w:t xml:space="preserve"> </w:t>
            </w:r>
            <w:r w:rsidR="00872802">
              <w:t xml:space="preserve">est </w:t>
            </w:r>
            <w:r w:rsidR="00872802" w:rsidRPr="00D1262F">
              <w:t>différenciée</w:t>
            </w:r>
            <w:r>
              <w:t>.</w:t>
            </w:r>
            <w:r w:rsidR="00872802">
              <w:t xml:space="preserve">  Les échelles favorisent sa mise en œuvre.</w:t>
            </w:r>
          </w:p>
        </w:tc>
        <w:tc>
          <w:tcPr>
            <w:tcW w:w="4394" w:type="dxa"/>
          </w:tcPr>
          <w:p w14:paraId="1F9C7563" w14:textId="1467D1A1" w:rsidR="00872802" w:rsidRDefault="00872802" w:rsidP="00487096">
            <w:r>
              <w:t>Echelle uniforme (</w:t>
            </w:r>
            <w:r w:rsidRPr="00D1262F">
              <w:t>la compétence  est subdivisée en plusieurs sous compétences indépendantes les unes des a</w:t>
            </w:r>
            <w:r>
              <w:t>utres.), échelle descriptive</w:t>
            </w:r>
            <w:r w:rsidR="00F24418">
              <w:t xml:space="preserve"> </w:t>
            </w:r>
            <w:r>
              <w:t xml:space="preserve"> (</w:t>
            </w:r>
            <w:r w:rsidRPr="00D1262F">
              <w:t>elle consiste en une série de portraits décrivant les différents niveaux de qualité d’une tâche. Elle permet d’évaluer le produit, le processus ou l’attitude)</w:t>
            </w:r>
            <w:r>
              <w:t xml:space="preserve"> </w:t>
            </w:r>
          </w:p>
          <w:p w14:paraId="50502411" w14:textId="77777777" w:rsidR="00872802" w:rsidRPr="00D1262F" w:rsidRDefault="00872802" w:rsidP="00487096">
            <w:r w:rsidRPr="00D1262F">
              <w:t>Doc ressource académique</w:t>
            </w:r>
            <w:r>
              <w:t> : « Évaluation pour la réussite</w:t>
            </w:r>
            <w:r w:rsidRPr="00D1262F">
              <w:t>, pages de la cardie, du SCCCC et des espaces pédagogiques disciplinaires, les revues échanger et e-novEPS n°4,</w:t>
            </w:r>
          </w:p>
        </w:tc>
      </w:tr>
      <w:tr w:rsidR="00872802" w:rsidRPr="00D1262F" w14:paraId="3C2AEB61" w14:textId="77777777" w:rsidTr="008052F7">
        <w:trPr>
          <w:cantSplit/>
        </w:trPr>
        <w:tc>
          <w:tcPr>
            <w:tcW w:w="2235" w:type="dxa"/>
          </w:tcPr>
          <w:p w14:paraId="4DC2A334" w14:textId="77777777" w:rsidR="00872802" w:rsidRPr="00D1262F" w:rsidRDefault="00872802" w:rsidP="00487096">
            <w:r w:rsidRPr="00D1262F">
              <w:lastRenderedPageBreak/>
              <w:t>Instruction</w:t>
            </w:r>
          </w:p>
        </w:tc>
        <w:tc>
          <w:tcPr>
            <w:tcW w:w="3827" w:type="dxa"/>
          </w:tcPr>
          <w:p w14:paraId="3EFBDD27" w14:textId="77777777" w:rsidR="00872802" w:rsidRPr="00D1262F" w:rsidRDefault="00872802" w:rsidP="00487096">
            <w:r w:rsidRPr="00D1262F">
              <w:t>La seule instruction ne peut s’entendre sans éducation et formation. L’usage des trois assure l’apprentissage</w:t>
            </w:r>
            <w:r>
              <w:t xml:space="preserve"> et le développement de compétences</w:t>
            </w:r>
          </w:p>
        </w:tc>
        <w:tc>
          <w:tcPr>
            <w:tcW w:w="4394" w:type="dxa"/>
          </w:tcPr>
          <w:p w14:paraId="5F600426" w14:textId="77777777" w:rsidR="00872802" w:rsidRPr="00D1262F" w:rsidRDefault="00872802" w:rsidP="00487096">
            <w:r w:rsidRPr="00D1262F">
              <w:t>Instruction : apport de connaissances</w:t>
            </w:r>
          </w:p>
          <w:p w14:paraId="018BFDA0" w14:textId="77777777" w:rsidR="00872802" w:rsidRPr="00D1262F" w:rsidRDefault="00872802" w:rsidP="00487096">
            <w:r w:rsidRPr="00D1262F">
              <w:t>Education : mise en situation d’appropriation de connaissances spécifiques et transversales</w:t>
            </w:r>
          </w:p>
          <w:p w14:paraId="728D921A" w14:textId="1BEB0096" w:rsidR="00872802" w:rsidRPr="00D1262F" w:rsidRDefault="00872802" w:rsidP="00487096">
            <w:r w:rsidRPr="00D1262F">
              <w:t>Formation : transformation des représentions, des modes de pensé</w:t>
            </w:r>
            <w:r w:rsidR="008052F7">
              <w:t>e</w:t>
            </w:r>
            <w:r w:rsidRPr="00D1262F">
              <w:t xml:space="preserve"> et d’action</w:t>
            </w:r>
          </w:p>
        </w:tc>
      </w:tr>
      <w:tr w:rsidR="00872802" w:rsidRPr="00D1262F" w14:paraId="5FA60A6A" w14:textId="77777777" w:rsidTr="00487096">
        <w:tc>
          <w:tcPr>
            <w:tcW w:w="2235" w:type="dxa"/>
          </w:tcPr>
          <w:p w14:paraId="5594B7E3" w14:textId="77777777" w:rsidR="00872802" w:rsidRPr="00D1262F" w:rsidRDefault="00872802" w:rsidP="00487096">
            <w:r w:rsidRPr="00D1262F">
              <w:t>Marge d’autonomie</w:t>
            </w:r>
          </w:p>
        </w:tc>
        <w:tc>
          <w:tcPr>
            <w:tcW w:w="3827" w:type="dxa"/>
          </w:tcPr>
          <w:p w14:paraId="455F5C87" w14:textId="2D22875A" w:rsidR="00872802" w:rsidRPr="00D1262F" w:rsidRDefault="00872802" w:rsidP="00487096">
            <w:r>
              <w:t>Elle est d’ordre p</w:t>
            </w:r>
            <w:r w:rsidRPr="00D1262F">
              <w:t>édagogique et structurel</w:t>
            </w:r>
          </w:p>
        </w:tc>
        <w:tc>
          <w:tcPr>
            <w:tcW w:w="4394" w:type="dxa"/>
          </w:tcPr>
          <w:p w14:paraId="766D7172" w14:textId="77777777" w:rsidR="00872802" w:rsidRPr="00D1262F" w:rsidRDefault="00872802" w:rsidP="00487096">
            <w:r w:rsidRPr="00D1262F">
              <w:t>Communications de F. Robine</w:t>
            </w:r>
          </w:p>
        </w:tc>
      </w:tr>
      <w:tr w:rsidR="00872802" w:rsidRPr="00D1262F" w14:paraId="14807248" w14:textId="77777777" w:rsidTr="00487096">
        <w:tc>
          <w:tcPr>
            <w:tcW w:w="2235" w:type="dxa"/>
          </w:tcPr>
          <w:p w14:paraId="7FEA62D7" w14:textId="77777777" w:rsidR="00872802" w:rsidRPr="00D1262F" w:rsidRDefault="00872802" w:rsidP="00487096">
            <w:r w:rsidRPr="00D1262F">
              <w:t>Pédagogie</w:t>
            </w:r>
          </w:p>
          <w:p w14:paraId="5DDEC63E" w14:textId="77777777" w:rsidR="00872802" w:rsidRPr="00D1262F" w:rsidRDefault="00872802" w:rsidP="00487096"/>
        </w:tc>
        <w:tc>
          <w:tcPr>
            <w:tcW w:w="3827" w:type="dxa"/>
          </w:tcPr>
          <w:p w14:paraId="46682758" w14:textId="20AF5E64" w:rsidR="00872802" w:rsidRPr="00D1262F" w:rsidRDefault="00872802" w:rsidP="00487096">
            <w:r>
              <w:t>Les p</w:t>
            </w:r>
            <w:r w:rsidRPr="00D1262F">
              <w:t>osture</w:t>
            </w:r>
            <w:r>
              <w:t>s des</w:t>
            </w:r>
            <w:r w:rsidRPr="00D1262F">
              <w:t xml:space="preserve"> professeur</w:t>
            </w:r>
            <w:r>
              <w:t>s</w:t>
            </w:r>
            <w:r w:rsidRPr="00D1262F">
              <w:t xml:space="preserve"> et </w:t>
            </w:r>
            <w:r>
              <w:t xml:space="preserve">en miroir, </w:t>
            </w:r>
            <w:r w:rsidRPr="00D1262F">
              <w:t>de</w:t>
            </w:r>
            <w:r>
              <w:t xml:space="preserve">s </w:t>
            </w:r>
            <w:r w:rsidRPr="00D1262F">
              <w:t>élève</w:t>
            </w:r>
            <w:r>
              <w:t xml:space="preserve">s sont à faire évoluer par une </w:t>
            </w:r>
            <w:r w:rsidRPr="00D1262F">
              <w:t xml:space="preserve">approche </w:t>
            </w:r>
            <w:r>
              <w:t xml:space="preserve">pédagogique et didactique par compétence, </w:t>
            </w:r>
            <w:r w:rsidR="00BF2CB2">
              <w:t xml:space="preserve">par </w:t>
            </w:r>
            <w:r>
              <w:t>la pédagogie du projet, de la confiance et</w:t>
            </w:r>
            <w:r w:rsidRPr="00D1262F">
              <w:t xml:space="preserve"> </w:t>
            </w:r>
            <w:r>
              <w:t xml:space="preserve">la </w:t>
            </w:r>
            <w:r w:rsidRPr="00D1262F">
              <w:t>personnalisation</w:t>
            </w:r>
          </w:p>
        </w:tc>
        <w:tc>
          <w:tcPr>
            <w:tcW w:w="4394" w:type="dxa"/>
          </w:tcPr>
          <w:p w14:paraId="24BA273F" w14:textId="77777777" w:rsidR="00872802" w:rsidRPr="00D1262F" w:rsidRDefault="00872802" w:rsidP="00487096">
            <w:r w:rsidRPr="00D1262F">
              <w:t xml:space="preserve">AP, EPI, pages de la cardie, du SCCCC et des espaces pédagogiques disciplinaires, les revues échanger et e-novEPS n°2 et 3, </w:t>
            </w:r>
          </w:p>
        </w:tc>
      </w:tr>
      <w:tr w:rsidR="00872802" w:rsidRPr="00D1262F" w14:paraId="5D95C9AE" w14:textId="77777777" w:rsidTr="00487096">
        <w:tc>
          <w:tcPr>
            <w:tcW w:w="2235" w:type="dxa"/>
          </w:tcPr>
          <w:p w14:paraId="1EACF832" w14:textId="77777777" w:rsidR="00872802" w:rsidRPr="00D1262F" w:rsidRDefault="00872802" w:rsidP="00487096">
            <w:r>
              <w:t>Personnalisation</w:t>
            </w:r>
          </w:p>
        </w:tc>
        <w:tc>
          <w:tcPr>
            <w:tcW w:w="3827" w:type="dxa"/>
          </w:tcPr>
          <w:p w14:paraId="6CBA46F1" w14:textId="77777777" w:rsidR="00872802" w:rsidRPr="00D1262F" w:rsidRDefault="00872802" w:rsidP="00487096">
            <w:r>
              <w:t>La d</w:t>
            </w:r>
            <w:r w:rsidRPr="00D1262F">
              <w:t xml:space="preserve">ifférenciation et </w:t>
            </w:r>
            <w:r>
              <w:t xml:space="preserve">la </w:t>
            </w:r>
            <w:r w:rsidRPr="00D1262F">
              <w:t xml:space="preserve">diversification </w:t>
            </w:r>
            <w:r>
              <w:t xml:space="preserve">se mettent </w:t>
            </w:r>
            <w:r w:rsidRPr="00D1262F">
              <w:t xml:space="preserve">au </w:t>
            </w:r>
            <w:r>
              <w:t xml:space="preserve">service de la personnalisation et du </w:t>
            </w:r>
            <w:r w:rsidRPr="00D1262F">
              <w:t>développement d’une stratégie d’accompagnement</w:t>
            </w:r>
            <w:r>
              <w:t xml:space="preserve"> des élèves </w:t>
            </w:r>
          </w:p>
        </w:tc>
        <w:tc>
          <w:tcPr>
            <w:tcW w:w="4394" w:type="dxa"/>
          </w:tcPr>
          <w:p w14:paraId="41406EE8" w14:textId="77777777" w:rsidR="00872802" w:rsidRDefault="00872802" w:rsidP="00487096">
            <w:r>
              <w:t>Personnalisation :</w:t>
            </w:r>
            <w:r w:rsidRPr="00D1262F">
              <w:t xml:space="preserve"> prend en compte les</w:t>
            </w:r>
            <w:r>
              <w:t xml:space="preserve"> particularités des individus</w:t>
            </w:r>
          </w:p>
          <w:p w14:paraId="5FEB8EB9" w14:textId="77777777" w:rsidR="00872802" w:rsidRDefault="00872802" w:rsidP="00487096">
            <w:r>
              <w:t xml:space="preserve">Différenciation : </w:t>
            </w:r>
            <w:r w:rsidRPr="00D1262F">
              <w:t>outil didactique au</w:t>
            </w:r>
            <w:r>
              <w:t xml:space="preserve"> service de la personnalisation</w:t>
            </w:r>
          </w:p>
          <w:p w14:paraId="6ACF443E" w14:textId="5CCB9ACD" w:rsidR="00872802" w:rsidRDefault="00872802" w:rsidP="00487096">
            <w:r>
              <w:t xml:space="preserve">Individualisation : </w:t>
            </w:r>
            <w:r w:rsidR="008052F7">
              <w:t>s’</w:t>
            </w:r>
            <w:r w:rsidRPr="00D1262F">
              <w:t>attach</w:t>
            </w:r>
            <w:r>
              <w:t>e à un individu en particulier</w:t>
            </w:r>
          </w:p>
          <w:p w14:paraId="2C79F416" w14:textId="77777777" w:rsidR="00872802" w:rsidRPr="00D1262F" w:rsidRDefault="00872802" w:rsidP="00487096">
            <w:r>
              <w:t>Diversification : ouverture à la pluralité</w:t>
            </w:r>
          </w:p>
        </w:tc>
      </w:tr>
      <w:tr w:rsidR="00872802" w:rsidRPr="00D1262F" w14:paraId="3439B576" w14:textId="77777777" w:rsidTr="00487096">
        <w:tc>
          <w:tcPr>
            <w:tcW w:w="2235" w:type="dxa"/>
          </w:tcPr>
          <w:p w14:paraId="5667024F" w14:textId="77777777" w:rsidR="00872802" w:rsidRPr="00D1262F" w:rsidRDefault="00872802" w:rsidP="00487096">
            <w:r w:rsidRPr="00D1262F">
              <w:t>Programmes</w:t>
            </w:r>
          </w:p>
        </w:tc>
        <w:tc>
          <w:tcPr>
            <w:tcW w:w="3827" w:type="dxa"/>
          </w:tcPr>
          <w:p w14:paraId="48D07255" w14:textId="0EDFFCE3" w:rsidR="00872802" w:rsidRPr="00D1262F" w:rsidRDefault="00872802" w:rsidP="00BF2CB2">
            <w:r>
              <w:t>Il</w:t>
            </w:r>
            <w:r w:rsidR="00BF2CB2">
              <w:t>s</w:t>
            </w:r>
            <w:r>
              <w:t xml:space="preserve"> constitue</w:t>
            </w:r>
            <w:r w:rsidR="00BF2CB2">
              <w:t>nt</w:t>
            </w:r>
            <w:r>
              <w:t xml:space="preserve"> une référence et non un</w:t>
            </w:r>
            <w:r w:rsidRPr="00D1262F">
              <w:t xml:space="preserve"> </w:t>
            </w:r>
            <w:r>
              <w:t>texte à appliquer. Le</w:t>
            </w:r>
            <w:r w:rsidRPr="00D1262F">
              <w:t xml:space="preserve"> volet 3 </w:t>
            </w:r>
            <w:r>
              <w:t xml:space="preserve">ne s’entend qu’avec les volets 1 et 2. </w:t>
            </w:r>
            <w:r w:rsidR="00BF2CB2">
              <w:t>Les SCCC suppléent les</w:t>
            </w:r>
            <w:r w:rsidRPr="00D1262F">
              <w:t xml:space="preserve"> disciplines</w:t>
            </w:r>
            <w:r>
              <w:t>. Les programmes</w:t>
            </w:r>
            <w:r w:rsidRPr="00D1262F">
              <w:t xml:space="preserve"> sont des leviers à l’évol</w:t>
            </w:r>
            <w:r>
              <w:t>ution des pratiques d’enseignement.</w:t>
            </w:r>
          </w:p>
        </w:tc>
        <w:tc>
          <w:tcPr>
            <w:tcW w:w="4394" w:type="dxa"/>
          </w:tcPr>
          <w:p w14:paraId="7FBEF45A" w14:textId="77777777" w:rsidR="00872802" w:rsidRPr="00D1262F" w:rsidRDefault="00872802" w:rsidP="00487096">
            <w:r w:rsidRPr="00D1262F">
              <w:t>Conférence</w:t>
            </w:r>
            <w:r>
              <w:t>s</w:t>
            </w:r>
            <w:r w:rsidRPr="00D1262F">
              <w:t xml:space="preserve"> du président du CSP, M. Lusseault</w:t>
            </w:r>
          </w:p>
          <w:p w14:paraId="5BB119DA" w14:textId="77777777" w:rsidR="00872802" w:rsidRPr="00D1262F" w:rsidRDefault="00872802" w:rsidP="00487096">
            <w:r>
              <w:t>Programme : n</w:t>
            </w:r>
            <w:r w:rsidRPr="00D1262F">
              <w:t>orme nationale qui constitue la référence centrale de l’éducation et la garantie d’une ambitio</w:t>
            </w:r>
            <w:r>
              <w:t xml:space="preserve">n et d’une culture communes. Il </w:t>
            </w:r>
            <w:r w:rsidRPr="00D1262F">
              <w:t>demande à être décliné localement pour définir ce qui doit être enseigné</w:t>
            </w:r>
            <w:r>
              <w:t>.</w:t>
            </w:r>
          </w:p>
        </w:tc>
      </w:tr>
      <w:tr w:rsidR="00872802" w:rsidRPr="00D1262F" w14:paraId="07E8981A" w14:textId="77777777" w:rsidTr="00487096">
        <w:tc>
          <w:tcPr>
            <w:tcW w:w="2235" w:type="dxa"/>
          </w:tcPr>
          <w:p w14:paraId="24F32D9C" w14:textId="77777777" w:rsidR="00872802" w:rsidRPr="00D1262F" w:rsidRDefault="00872802" w:rsidP="00487096">
            <w:r w:rsidRPr="00D1262F">
              <w:t>Responsabilité</w:t>
            </w:r>
          </w:p>
        </w:tc>
        <w:tc>
          <w:tcPr>
            <w:tcW w:w="3827" w:type="dxa"/>
          </w:tcPr>
          <w:p w14:paraId="202986ED" w14:textId="77777777" w:rsidR="00872802" w:rsidRPr="00D1262F" w:rsidRDefault="00872802" w:rsidP="00487096">
            <w:r>
              <w:t>S’observe un glissement vers une obligation de résultat, un</w:t>
            </w:r>
            <w:r w:rsidRPr="00D1262F">
              <w:t xml:space="preserve"> pilotage par l’évaluation</w:t>
            </w:r>
            <w:r>
              <w:t>, et une</w:t>
            </w:r>
            <w:r w:rsidRPr="00D1262F">
              <w:t xml:space="preserve"> démarche d’auto-évaluation</w:t>
            </w:r>
          </w:p>
        </w:tc>
        <w:tc>
          <w:tcPr>
            <w:tcW w:w="4394" w:type="dxa"/>
          </w:tcPr>
          <w:p w14:paraId="7429EFFC" w14:textId="637FF1AA" w:rsidR="00872802" w:rsidRPr="00D1262F" w:rsidRDefault="00872802" w:rsidP="00487096">
            <w:r>
              <w:t>Il s’agit de f</w:t>
            </w:r>
            <w:r w:rsidRPr="00D1262F">
              <w:t>aire preuve d’initiative, s’engager, assumer le</w:t>
            </w:r>
            <w:r w:rsidR="008052F7">
              <w:t>s choix et les conséquences de c</w:t>
            </w:r>
            <w:r w:rsidRPr="00D1262F">
              <w:t>es derniers, les questionner, se remettre en question. Se montrer garant de la mission endossée.</w:t>
            </w:r>
          </w:p>
        </w:tc>
      </w:tr>
      <w:tr w:rsidR="00872802" w:rsidRPr="00D1262F" w14:paraId="5C7A21C1" w14:textId="77777777" w:rsidTr="00487096">
        <w:tc>
          <w:tcPr>
            <w:tcW w:w="2235" w:type="dxa"/>
          </w:tcPr>
          <w:p w14:paraId="011FD32C" w14:textId="77777777" w:rsidR="00872802" w:rsidRPr="00D1262F" w:rsidRDefault="00872802" w:rsidP="00487096">
            <w:r w:rsidRPr="00D1262F">
              <w:t>SCCC</w:t>
            </w:r>
          </w:p>
        </w:tc>
        <w:tc>
          <w:tcPr>
            <w:tcW w:w="3827" w:type="dxa"/>
          </w:tcPr>
          <w:p w14:paraId="3CF4FB87" w14:textId="77777777" w:rsidR="00872802" w:rsidRPr="00D1262F" w:rsidRDefault="00872802" w:rsidP="00487096">
            <w:r>
              <w:t>Il est u</w:t>
            </w:r>
            <w:r w:rsidRPr="00D1262F">
              <w:t>ne référence central</w:t>
            </w:r>
            <w:r>
              <w:t>e</w:t>
            </w:r>
            <w:r w:rsidRPr="00D1262F">
              <w:t xml:space="preserve"> pour toutes les disciplines</w:t>
            </w:r>
            <w:r>
              <w:t>.</w:t>
            </w:r>
          </w:p>
        </w:tc>
        <w:tc>
          <w:tcPr>
            <w:tcW w:w="4394" w:type="dxa"/>
          </w:tcPr>
          <w:p w14:paraId="1D623AE5" w14:textId="77777777" w:rsidR="00872802" w:rsidRPr="00D1262F" w:rsidRDefault="00872802" w:rsidP="00487096">
            <w:r w:rsidRPr="00D1262F">
              <w:t>Ensemble de compétences dont l’acquisition doit être garantie à l’issu</w:t>
            </w:r>
            <w:r>
              <w:t>e</w:t>
            </w:r>
            <w:r w:rsidRPr="00D1262F">
              <w:t xml:space="preserve"> de l’école obligatoire</w:t>
            </w:r>
          </w:p>
        </w:tc>
      </w:tr>
    </w:tbl>
    <w:p w14:paraId="71181477" w14:textId="0186D365" w:rsidR="007B10D9" w:rsidRDefault="007B10D9" w:rsidP="00D1262F"/>
    <w:p w14:paraId="2C688902" w14:textId="77777777" w:rsidR="007B10D9" w:rsidRDefault="007B10D9">
      <w:r>
        <w:br w:type="page"/>
      </w:r>
    </w:p>
    <w:p w14:paraId="21D1F8DD" w14:textId="77777777" w:rsidR="007B10D9" w:rsidRDefault="007B10D9" w:rsidP="00D1262F">
      <w:pPr>
        <w:sectPr w:rsidR="007B10D9" w:rsidSect="00872802">
          <w:pgSz w:w="11900" w:h="16840"/>
          <w:pgMar w:top="1417" w:right="1417" w:bottom="1417" w:left="1417" w:header="708" w:footer="708" w:gutter="0"/>
          <w:cols w:space="708"/>
        </w:sectPr>
      </w:pPr>
    </w:p>
    <w:p w14:paraId="17D5D631" w14:textId="1368A341" w:rsidR="00872802" w:rsidRPr="00D1262F" w:rsidRDefault="007B10D9" w:rsidP="007B10D9">
      <w:pPr>
        <w:ind w:left="-567"/>
      </w:pPr>
      <w:r w:rsidRPr="007B10D9">
        <w:rPr>
          <w:noProof/>
        </w:rPr>
        <w:lastRenderedPageBreak/>
        <w:drawing>
          <wp:inline distT="0" distB="0" distL="0" distR="0" wp14:anchorId="76E265A1" wp14:editId="19301400">
            <wp:extent cx="9676765" cy="6316010"/>
            <wp:effectExtent l="0" t="0" r="635" b="889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79968" cy="6318101"/>
                    </a:xfrm>
                    <a:prstGeom prst="rect">
                      <a:avLst/>
                    </a:prstGeom>
                    <a:noFill/>
                    <a:ln>
                      <a:noFill/>
                    </a:ln>
                  </pic:spPr>
                </pic:pic>
              </a:graphicData>
            </a:graphic>
          </wp:inline>
        </w:drawing>
      </w:r>
    </w:p>
    <w:sectPr w:rsidR="00872802" w:rsidRPr="00D1262F" w:rsidSect="007B10D9">
      <w:pgSz w:w="16840" w:h="11900" w:orient="landscape"/>
      <w:pgMar w:top="851" w:right="1417" w:bottom="851"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FF"/>
    <w:rsid w:val="000C7FF1"/>
    <w:rsid w:val="00174F6A"/>
    <w:rsid w:val="001C0A9C"/>
    <w:rsid w:val="001C0FD9"/>
    <w:rsid w:val="001F7720"/>
    <w:rsid w:val="00215BA4"/>
    <w:rsid w:val="00223DA8"/>
    <w:rsid w:val="00244504"/>
    <w:rsid w:val="00405277"/>
    <w:rsid w:val="004510C9"/>
    <w:rsid w:val="00486D39"/>
    <w:rsid w:val="004A32B0"/>
    <w:rsid w:val="004F3713"/>
    <w:rsid w:val="00521822"/>
    <w:rsid w:val="0052789D"/>
    <w:rsid w:val="005B6F21"/>
    <w:rsid w:val="00626DCD"/>
    <w:rsid w:val="00630475"/>
    <w:rsid w:val="00652BE3"/>
    <w:rsid w:val="00654B6E"/>
    <w:rsid w:val="006615D1"/>
    <w:rsid w:val="006E76CC"/>
    <w:rsid w:val="007764C4"/>
    <w:rsid w:val="007B10D9"/>
    <w:rsid w:val="007C64C8"/>
    <w:rsid w:val="008052F7"/>
    <w:rsid w:val="0082461A"/>
    <w:rsid w:val="0084595E"/>
    <w:rsid w:val="00872802"/>
    <w:rsid w:val="009326F2"/>
    <w:rsid w:val="00980EE4"/>
    <w:rsid w:val="00A11822"/>
    <w:rsid w:val="00A6606A"/>
    <w:rsid w:val="00AC4F6F"/>
    <w:rsid w:val="00AC63F4"/>
    <w:rsid w:val="00AD5B7E"/>
    <w:rsid w:val="00B03117"/>
    <w:rsid w:val="00B0603F"/>
    <w:rsid w:val="00BF2CB2"/>
    <w:rsid w:val="00C33FAE"/>
    <w:rsid w:val="00C74FDE"/>
    <w:rsid w:val="00CD3E0E"/>
    <w:rsid w:val="00D1262F"/>
    <w:rsid w:val="00D43EBF"/>
    <w:rsid w:val="00D47638"/>
    <w:rsid w:val="00DB727A"/>
    <w:rsid w:val="00E977D1"/>
    <w:rsid w:val="00EE4CCA"/>
    <w:rsid w:val="00EF0829"/>
    <w:rsid w:val="00EF4295"/>
    <w:rsid w:val="00F24418"/>
    <w:rsid w:val="00F74B1F"/>
    <w:rsid w:val="00F94A96"/>
    <w:rsid w:val="00FB01D9"/>
    <w:rsid w:val="00FC71FF"/>
    <w:rsid w:val="00FF77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2766E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976796"/>
    <w:pPr>
      <w:spacing w:before="100" w:beforeAutospacing="1" w:after="119"/>
    </w:pPr>
    <w:rPr>
      <w:rFonts w:ascii="Times" w:eastAsia="Times" w:hAnsi="Times"/>
      <w:sz w:val="20"/>
      <w:szCs w:val="20"/>
    </w:rPr>
  </w:style>
  <w:style w:type="paragraph" w:customStyle="1" w:styleId="Style5">
    <w:name w:val="Style5"/>
    <w:basedOn w:val="NormalWeb"/>
    <w:next w:val="NormalWeb"/>
    <w:autoRedefine/>
    <w:rsid w:val="00976796"/>
    <w:pPr>
      <w:spacing w:after="100"/>
      <w:jc w:val="both"/>
    </w:pPr>
    <w:rPr>
      <w:rFonts w:ascii="Arial" w:hAnsi="Arial"/>
      <w:sz w:val="18"/>
    </w:rPr>
  </w:style>
  <w:style w:type="paragraph" w:customStyle="1" w:styleId="Style6">
    <w:name w:val="Style6"/>
    <w:basedOn w:val="NormalWeb"/>
    <w:autoRedefine/>
    <w:rsid w:val="00976796"/>
    <w:pPr>
      <w:spacing w:after="100"/>
      <w:jc w:val="both"/>
    </w:pPr>
    <w:rPr>
      <w:rFonts w:ascii="Arial" w:eastAsia="Times New Roman" w:hAnsi="Arial"/>
      <w:sz w:val="18"/>
    </w:rPr>
  </w:style>
  <w:style w:type="table" w:styleId="Grille">
    <w:name w:val="Table Grid"/>
    <w:basedOn w:val="TableauNormal"/>
    <w:uiPriority w:val="59"/>
    <w:rsid w:val="00FC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unhideWhenUsed/>
    <w:rsid w:val="004510C9"/>
    <w:rPr>
      <w:rFonts w:ascii="Lucida Grande" w:hAnsi="Lucida Grande" w:cs="Lucida Grande"/>
      <w:sz w:val="18"/>
      <w:szCs w:val="18"/>
    </w:rPr>
  </w:style>
  <w:style w:type="character" w:customStyle="1" w:styleId="TextedebullesCar">
    <w:name w:val="Texte de bulles Car"/>
    <w:basedOn w:val="Policepardfaut"/>
    <w:link w:val="Textedebulles"/>
    <w:uiPriority w:val="99"/>
    <w:rsid w:val="004510C9"/>
    <w:rPr>
      <w:rFonts w:ascii="Lucida Grande" w:hAnsi="Lucida Grande" w:cs="Lucida Grande"/>
      <w:sz w:val="18"/>
      <w:szCs w:val="18"/>
      <w:lang w:eastAsia="fr-FR"/>
    </w:rPr>
  </w:style>
  <w:style w:type="character" w:customStyle="1" w:styleId="st">
    <w:name w:val="st"/>
    <w:basedOn w:val="Policepardfaut"/>
    <w:uiPriority w:val="99"/>
    <w:rsid w:val="00C74FDE"/>
  </w:style>
  <w:style w:type="character" w:styleId="Accentuation">
    <w:name w:val="Emphasis"/>
    <w:basedOn w:val="Policepardfaut"/>
    <w:uiPriority w:val="99"/>
    <w:qFormat/>
    <w:rsid w:val="00C74FD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976796"/>
    <w:pPr>
      <w:spacing w:before="100" w:beforeAutospacing="1" w:after="119"/>
    </w:pPr>
    <w:rPr>
      <w:rFonts w:ascii="Times" w:eastAsia="Times" w:hAnsi="Times"/>
      <w:sz w:val="20"/>
      <w:szCs w:val="20"/>
    </w:rPr>
  </w:style>
  <w:style w:type="paragraph" w:customStyle="1" w:styleId="Style5">
    <w:name w:val="Style5"/>
    <w:basedOn w:val="NormalWeb"/>
    <w:next w:val="NormalWeb"/>
    <w:autoRedefine/>
    <w:rsid w:val="00976796"/>
    <w:pPr>
      <w:spacing w:after="100"/>
      <w:jc w:val="both"/>
    </w:pPr>
    <w:rPr>
      <w:rFonts w:ascii="Arial" w:hAnsi="Arial"/>
      <w:sz w:val="18"/>
    </w:rPr>
  </w:style>
  <w:style w:type="paragraph" w:customStyle="1" w:styleId="Style6">
    <w:name w:val="Style6"/>
    <w:basedOn w:val="NormalWeb"/>
    <w:autoRedefine/>
    <w:rsid w:val="00976796"/>
    <w:pPr>
      <w:spacing w:after="100"/>
      <w:jc w:val="both"/>
    </w:pPr>
    <w:rPr>
      <w:rFonts w:ascii="Arial" w:eastAsia="Times New Roman" w:hAnsi="Arial"/>
      <w:sz w:val="18"/>
    </w:rPr>
  </w:style>
  <w:style w:type="table" w:styleId="Grille">
    <w:name w:val="Table Grid"/>
    <w:basedOn w:val="TableauNormal"/>
    <w:uiPriority w:val="59"/>
    <w:rsid w:val="00FC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unhideWhenUsed/>
    <w:rsid w:val="004510C9"/>
    <w:rPr>
      <w:rFonts w:ascii="Lucida Grande" w:hAnsi="Lucida Grande" w:cs="Lucida Grande"/>
      <w:sz w:val="18"/>
      <w:szCs w:val="18"/>
    </w:rPr>
  </w:style>
  <w:style w:type="character" w:customStyle="1" w:styleId="TextedebullesCar">
    <w:name w:val="Texte de bulles Car"/>
    <w:basedOn w:val="Policepardfaut"/>
    <w:link w:val="Textedebulles"/>
    <w:uiPriority w:val="99"/>
    <w:rsid w:val="004510C9"/>
    <w:rPr>
      <w:rFonts w:ascii="Lucida Grande" w:hAnsi="Lucida Grande" w:cs="Lucida Grande"/>
      <w:sz w:val="18"/>
      <w:szCs w:val="18"/>
      <w:lang w:eastAsia="fr-FR"/>
    </w:rPr>
  </w:style>
  <w:style w:type="character" w:customStyle="1" w:styleId="st">
    <w:name w:val="st"/>
    <w:basedOn w:val="Policepardfaut"/>
    <w:uiPriority w:val="99"/>
    <w:rsid w:val="00C74FDE"/>
  </w:style>
  <w:style w:type="character" w:styleId="Accentuation">
    <w:name w:val="Emphasis"/>
    <w:basedOn w:val="Policepardfaut"/>
    <w:uiPriority w:val="99"/>
    <w:qFormat/>
    <w:rsid w:val="00C74F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1257">
      <w:bodyDiv w:val="1"/>
      <w:marLeft w:val="0"/>
      <w:marRight w:val="0"/>
      <w:marTop w:val="0"/>
      <w:marBottom w:val="0"/>
      <w:divBdr>
        <w:top w:val="none" w:sz="0" w:space="0" w:color="auto"/>
        <w:left w:val="none" w:sz="0" w:space="0" w:color="auto"/>
        <w:bottom w:val="none" w:sz="0" w:space="0" w:color="auto"/>
        <w:right w:val="none" w:sz="0" w:space="0" w:color="auto"/>
      </w:divBdr>
      <w:divsChild>
        <w:div w:id="123158541">
          <w:marLeft w:val="0"/>
          <w:marRight w:val="0"/>
          <w:marTop w:val="0"/>
          <w:marBottom w:val="0"/>
          <w:divBdr>
            <w:top w:val="none" w:sz="0" w:space="0" w:color="auto"/>
            <w:left w:val="none" w:sz="0" w:space="0" w:color="auto"/>
            <w:bottom w:val="none" w:sz="0" w:space="0" w:color="auto"/>
            <w:right w:val="none" w:sz="0" w:space="0" w:color="auto"/>
          </w:divBdr>
        </w:div>
        <w:div w:id="1593322703">
          <w:marLeft w:val="0"/>
          <w:marRight w:val="0"/>
          <w:marTop w:val="0"/>
          <w:marBottom w:val="0"/>
          <w:divBdr>
            <w:top w:val="none" w:sz="0" w:space="0" w:color="auto"/>
            <w:left w:val="none" w:sz="0" w:space="0" w:color="auto"/>
            <w:bottom w:val="none" w:sz="0" w:space="0" w:color="auto"/>
            <w:right w:val="none" w:sz="0" w:space="0" w:color="auto"/>
          </w:divBdr>
        </w:div>
      </w:divsChild>
    </w:div>
    <w:div w:id="388383614">
      <w:bodyDiv w:val="1"/>
      <w:marLeft w:val="0"/>
      <w:marRight w:val="0"/>
      <w:marTop w:val="0"/>
      <w:marBottom w:val="0"/>
      <w:divBdr>
        <w:top w:val="none" w:sz="0" w:space="0" w:color="auto"/>
        <w:left w:val="none" w:sz="0" w:space="0" w:color="auto"/>
        <w:bottom w:val="none" w:sz="0" w:space="0" w:color="auto"/>
        <w:right w:val="none" w:sz="0" w:space="0" w:color="auto"/>
      </w:divBdr>
      <w:divsChild>
        <w:div w:id="539362118">
          <w:marLeft w:val="389"/>
          <w:marRight w:val="0"/>
          <w:marTop w:val="288"/>
          <w:marBottom w:val="192"/>
          <w:divBdr>
            <w:top w:val="none" w:sz="0" w:space="0" w:color="auto"/>
            <w:left w:val="none" w:sz="0" w:space="0" w:color="auto"/>
            <w:bottom w:val="none" w:sz="0" w:space="0" w:color="auto"/>
            <w:right w:val="none" w:sz="0" w:space="0" w:color="auto"/>
          </w:divBdr>
        </w:div>
      </w:divsChild>
    </w:div>
    <w:div w:id="429088131">
      <w:bodyDiv w:val="1"/>
      <w:marLeft w:val="0"/>
      <w:marRight w:val="0"/>
      <w:marTop w:val="0"/>
      <w:marBottom w:val="0"/>
      <w:divBdr>
        <w:top w:val="none" w:sz="0" w:space="0" w:color="auto"/>
        <w:left w:val="none" w:sz="0" w:space="0" w:color="auto"/>
        <w:bottom w:val="none" w:sz="0" w:space="0" w:color="auto"/>
        <w:right w:val="none" w:sz="0" w:space="0" w:color="auto"/>
      </w:divBdr>
      <w:divsChild>
        <w:div w:id="1916553453">
          <w:marLeft w:val="0"/>
          <w:marRight w:val="0"/>
          <w:marTop w:val="0"/>
          <w:marBottom w:val="0"/>
          <w:divBdr>
            <w:top w:val="none" w:sz="0" w:space="0" w:color="auto"/>
            <w:left w:val="none" w:sz="0" w:space="0" w:color="auto"/>
            <w:bottom w:val="none" w:sz="0" w:space="0" w:color="auto"/>
            <w:right w:val="none" w:sz="0" w:space="0" w:color="auto"/>
          </w:divBdr>
        </w:div>
        <w:div w:id="972174494">
          <w:marLeft w:val="0"/>
          <w:marRight w:val="0"/>
          <w:marTop w:val="0"/>
          <w:marBottom w:val="0"/>
          <w:divBdr>
            <w:top w:val="none" w:sz="0" w:space="0" w:color="auto"/>
            <w:left w:val="none" w:sz="0" w:space="0" w:color="auto"/>
            <w:bottom w:val="none" w:sz="0" w:space="0" w:color="auto"/>
            <w:right w:val="none" w:sz="0" w:space="0" w:color="auto"/>
          </w:divBdr>
        </w:div>
      </w:divsChild>
    </w:div>
    <w:div w:id="1083066580">
      <w:bodyDiv w:val="1"/>
      <w:marLeft w:val="0"/>
      <w:marRight w:val="0"/>
      <w:marTop w:val="0"/>
      <w:marBottom w:val="0"/>
      <w:divBdr>
        <w:top w:val="none" w:sz="0" w:space="0" w:color="auto"/>
        <w:left w:val="none" w:sz="0" w:space="0" w:color="auto"/>
        <w:bottom w:val="none" w:sz="0" w:space="0" w:color="auto"/>
        <w:right w:val="none" w:sz="0" w:space="0" w:color="auto"/>
      </w:divBdr>
    </w:div>
    <w:div w:id="1239561679">
      <w:bodyDiv w:val="1"/>
      <w:marLeft w:val="0"/>
      <w:marRight w:val="0"/>
      <w:marTop w:val="0"/>
      <w:marBottom w:val="0"/>
      <w:divBdr>
        <w:top w:val="none" w:sz="0" w:space="0" w:color="auto"/>
        <w:left w:val="none" w:sz="0" w:space="0" w:color="auto"/>
        <w:bottom w:val="none" w:sz="0" w:space="0" w:color="auto"/>
        <w:right w:val="none" w:sz="0" w:space="0" w:color="auto"/>
      </w:divBdr>
      <w:divsChild>
        <w:div w:id="1941259555">
          <w:marLeft w:val="0"/>
          <w:marRight w:val="0"/>
          <w:marTop w:val="0"/>
          <w:marBottom w:val="0"/>
          <w:divBdr>
            <w:top w:val="none" w:sz="0" w:space="0" w:color="auto"/>
            <w:left w:val="none" w:sz="0" w:space="0" w:color="auto"/>
            <w:bottom w:val="none" w:sz="0" w:space="0" w:color="auto"/>
            <w:right w:val="none" w:sz="0" w:space="0" w:color="auto"/>
          </w:divBdr>
        </w:div>
        <w:div w:id="1920671798">
          <w:marLeft w:val="0"/>
          <w:marRight w:val="0"/>
          <w:marTop w:val="0"/>
          <w:marBottom w:val="0"/>
          <w:divBdr>
            <w:top w:val="none" w:sz="0" w:space="0" w:color="auto"/>
            <w:left w:val="none" w:sz="0" w:space="0" w:color="auto"/>
            <w:bottom w:val="none" w:sz="0" w:space="0" w:color="auto"/>
            <w:right w:val="none" w:sz="0" w:space="0" w:color="auto"/>
          </w:divBdr>
        </w:div>
      </w:divsChild>
    </w:div>
    <w:div w:id="1313485506">
      <w:bodyDiv w:val="1"/>
      <w:marLeft w:val="0"/>
      <w:marRight w:val="0"/>
      <w:marTop w:val="0"/>
      <w:marBottom w:val="0"/>
      <w:divBdr>
        <w:top w:val="none" w:sz="0" w:space="0" w:color="auto"/>
        <w:left w:val="none" w:sz="0" w:space="0" w:color="auto"/>
        <w:bottom w:val="none" w:sz="0" w:space="0" w:color="auto"/>
        <w:right w:val="none" w:sz="0" w:space="0" w:color="auto"/>
      </w:divBdr>
      <w:divsChild>
        <w:div w:id="1851528766">
          <w:marLeft w:val="0"/>
          <w:marRight w:val="0"/>
          <w:marTop w:val="346"/>
          <w:marBottom w:val="230"/>
          <w:divBdr>
            <w:top w:val="none" w:sz="0" w:space="0" w:color="auto"/>
            <w:left w:val="none" w:sz="0" w:space="0" w:color="auto"/>
            <w:bottom w:val="none" w:sz="0" w:space="0" w:color="auto"/>
            <w:right w:val="none" w:sz="0" w:space="0" w:color="auto"/>
          </w:divBdr>
        </w:div>
      </w:divsChild>
    </w:div>
    <w:div w:id="1507284152">
      <w:bodyDiv w:val="1"/>
      <w:marLeft w:val="0"/>
      <w:marRight w:val="0"/>
      <w:marTop w:val="0"/>
      <w:marBottom w:val="0"/>
      <w:divBdr>
        <w:top w:val="none" w:sz="0" w:space="0" w:color="auto"/>
        <w:left w:val="none" w:sz="0" w:space="0" w:color="auto"/>
        <w:bottom w:val="none" w:sz="0" w:space="0" w:color="auto"/>
        <w:right w:val="none" w:sz="0" w:space="0" w:color="auto"/>
      </w:divBdr>
      <w:divsChild>
        <w:div w:id="1669828">
          <w:marLeft w:val="547"/>
          <w:marRight w:val="0"/>
          <w:marTop w:val="200"/>
          <w:marBottom w:val="0"/>
          <w:divBdr>
            <w:top w:val="none" w:sz="0" w:space="0" w:color="auto"/>
            <w:left w:val="none" w:sz="0" w:space="0" w:color="auto"/>
            <w:bottom w:val="none" w:sz="0" w:space="0" w:color="auto"/>
            <w:right w:val="none" w:sz="0" w:space="0" w:color="auto"/>
          </w:divBdr>
        </w:div>
      </w:divsChild>
    </w:div>
    <w:div w:id="1533957283">
      <w:bodyDiv w:val="1"/>
      <w:marLeft w:val="0"/>
      <w:marRight w:val="0"/>
      <w:marTop w:val="0"/>
      <w:marBottom w:val="0"/>
      <w:divBdr>
        <w:top w:val="none" w:sz="0" w:space="0" w:color="auto"/>
        <w:left w:val="none" w:sz="0" w:space="0" w:color="auto"/>
        <w:bottom w:val="none" w:sz="0" w:space="0" w:color="auto"/>
        <w:right w:val="none" w:sz="0" w:space="0" w:color="auto"/>
      </w:divBdr>
      <w:divsChild>
        <w:div w:id="372577948">
          <w:marLeft w:val="547"/>
          <w:marRight w:val="0"/>
          <w:marTop w:val="200"/>
          <w:marBottom w:val="0"/>
          <w:divBdr>
            <w:top w:val="none" w:sz="0" w:space="0" w:color="auto"/>
            <w:left w:val="none" w:sz="0" w:space="0" w:color="auto"/>
            <w:bottom w:val="none" w:sz="0" w:space="0" w:color="auto"/>
            <w:right w:val="none" w:sz="0" w:space="0" w:color="auto"/>
          </w:divBdr>
        </w:div>
      </w:divsChild>
    </w:div>
    <w:div w:id="1609695874">
      <w:bodyDiv w:val="1"/>
      <w:marLeft w:val="0"/>
      <w:marRight w:val="0"/>
      <w:marTop w:val="0"/>
      <w:marBottom w:val="0"/>
      <w:divBdr>
        <w:top w:val="none" w:sz="0" w:space="0" w:color="auto"/>
        <w:left w:val="none" w:sz="0" w:space="0" w:color="auto"/>
        <w:bottom w:val="none" w:sz="0" w:space="0" w:color="auto"/>
        <w:right w:val="none" w:sz="0" w:space="0" w:color="auto"/>
      </w:divBdr>
      <w:divsChild>
        <w:div w:id="63914481">
          <w:marLeft w:val="547"/>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1533</Words>
  <Characters>8437</Characters>
  <Application>Microsoft Macintosh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Evain</dc:creator>
  <cp:lastModifiedBy>Delphine Evain</cp:lastModifiedBy>
  <cp:revision>2</cp:revision>
  <cp:lastPrinted>2015-12-07T10:21:00Z</cp:lastPrinted>
  <dcterms:created xsi:type="dcterms:W3CDTF">2016-06-16T17:12:00Z</dcterms:created>
  <dcterms:modified xsi:type="dcterms:W3CDTF">2016-06-16T17:12:00Z</dcterms:modified>
</cp:coreProperties>
</file>