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FE91A" w14:textId="13838028" w:rsidR="00F509C1" w:rsidRPr="00F509C1" w:rsidRDefault="00EB6B56" w:rsidP="00432D3B">
      <w:pPr>
        <w:rPr>
          <w:b/>
          <w:u w:val="single"/>
        </w:rPr>
      </w:pPr>
      <w:r>
        <w:rPr>
          <w:b/>
          <w:u w:val="single"/>
        </w:rPr>
        <w:t>Petit glossaire pour l’EPS</w:t>
      </w:r>
      <w:bookmarkStart w:id="0" w:name="_GoBack"/>
      <w:bookmarkEnd w:id="0"/>
    </w:p>
    <w:p w14:paraId="38CE52E7" w14:textId="77777777" w:rsidR="00F509C1" w:rsidRDefault="00F509C1" w:rsidP="00432D3B"/>
    <w:tbl>
      <w:tblPr>
        <w:tblStyle w:val="Grille"/>
        <w:tblW w:w="0" w:type="auto"/>
        <w:tblLook w:val="04A0" w:firstRow="1" w:lastRow="0" w:firstColumn="1" w:lastColumn="0" w:noHBand="0" w:noVBand="1"/>
      </w:tblPr>
      <w:tblGrid>
        <w:gridCol w:w="3227"/>
        <w:gridCol w:w="10917"/>
      </w:tblGrid>
      <w:tr w:rsidR="002944BB" w14:paraId="479089FC" w14:textId="77777777" w:rsidTr="00297F98">
        <w:tc>
          <w:tcPr>
            <w:tcW w:w="3227" w:type="dxa"/>
          </w:tcPr>
          <w:p w14:paraId="5E4F3432" w14:textId="77777777" w:rsidR="002944BB" w:rsidRPr="002944BB" w:rsidRDefault="002944BB" w:rsidP="00297F98">
            <w:pPr>
              <w:rPr>
                <w:b/>
              </w:rPr>
            </w:pPr>
            <w:r w:rsidRPr="002944BB">
              <w:rPr>
                <w:b/>
              </w:rPr>
              <w:t>AS</w:t>
            </w:r>
          </w:p>
        </w:tc>
        <w:tc>
          <w:tcPr>
            <w:tcW w:w="10917" w:type="dxa"/>
          </w:tcPr>
          <w:p w14:paraId="1F92388F" w14:textId="4F67F700" w:rsidR="002944BB" w:rsidRPr="009F59F0" w:rsidRDefault="002944BB" w:rsidP="00297F98">
            <w:r w:rsidRPr="009F59F0">
              <w:t>Offre complémentaire</w:t>
            </w:r>
            <w:r w:rsidR="008F4DC1">
              <w:t xml:space="preserve"> et/ou supplémentaire</w:t>
            </w:r>
            <w:r w:rsidRPr="009F59F0">
              <w:t xml:space="preserve"> de l’EPS</w:t>
            </w:r>
          </w:p>
        </w:tc>
      </w:tr>
      <w:tr w:rsidR="002944BB" w14:paraId="2494FF8B" w14:textId="77777777" w:rsidTr="00297F98">
        <w:tc>
          <w:tcPr>
            <w:tcW w:w="3227" w:type="dxa"/>
          </w:tcPr>
          <w:p w14:paraId="0F0A5FB1" w14:textId="77777777" w:rsidR="002944BB" w:rsidRPr="002944BB" w:rsidRDefault="002944BB" w:rsidP="00297F98">
            <w:pPr>
              <w:rPr>
                <w:b/>
              </w:rPr>
            </w:pPr>
            <w:r w:rsidRPr="002944BB">
              <w:rPr>
                <w:b/>
              </w:rPr>
              <w:t>APSA ou pas</w:t>
            </w:r>
          </w:p>
        </w:tc>
        <w:tc>
          <w:tcPr>
            <w:tcW w:w="10917" w:type="dxa"/>
          </w:tcPr>
          <w:p w14:paraId="1C05C64C" w14:textId="77777777" w:rsidR="002944BB" w:rsidRDefault="002944BB" w:rsidP="00297F98">
            <w:r>
              <w:t xml:space="preserve">les CA focalisent sur les apprentissages de l’élève, non sur l’activité. La notion de « champ » renvoie </w:t>
            </w:r>
            <w:r w:rsidR="00297F98">
              <w:t>à la notion de catégorie d’expérience, de croisement ou complémentarité des APSA</w:t>
            </w:r>
            <w:r>
              <w:t xml:space="preserve"> </w:t>
            </w:r>
          </w:p>
        </w:tc>
      </w:tr>
      <w:tr w:rsidR="00467E7C" w14:paraId="3E225607" w14:textId="77777777" w:rsidTr="000B6531">
        <w:tc>
          <w:tcPr>
            <w:tcW w:w="3227" w:type="dxa"/>
          </w:tcPr>
          <w:p w14:paraId="031C383D" w14:textId="77777777" w:rsidR="00467E7C" w:rsidRPr="002944BB" w:rsidRDefault="00467E7C" w:rsidP="00467E7C">
            <w:pPr>
              <w:rPr>
                <w:b/>
              </w:rPr>
            </w:pPr>
            <w:r w:rsidRPr="002944BB">
              <w:rPr>
                <w:b/>
              </w:rPr>
              <w:t>Curriculum</w:t>
            </w:r>
          </w:p>
        </w:tc>
        <w:tc>
          <w:tcPr>
            <w:tcW w:w="10917" w:type="dxa"/>
          </w:tcPr>
          <w:p w14:paraId="6CA62D3C" w14:textId="230B22E6" w:rsidR="00467E7C" w:rsidRPr="002944BB" w:rsidRDefault="00297F98" w:rsidP="00432D3B">
            <w:r>
              <w:t>Parcours</w:t>
            </w:r>
            <w:r w:rsidR="00467E7C" w:rsidRPr="002944BB">
              <w:t xml:space="preserve"> d’apprentissage </w:t>
            </w:r>
            <w:r w:rsidR="009B119C">
              <w:t>des élèves</w:t>
            </w:r>
            <w:r w:rsidR="00EB6B56">
              <w:t>,</w:t>
            </w:r>
            <w:r w:rsidR="009B119C">
              <w:t xml:space="preserve"> </w:t>
            </w:r>
            <w:r w:rsidR="00467E7C" w:rsidRPr="002944BB">
              <w:t>adapté par l’enseignant</w:t>
            </w:r>
          </w:p>
        </w:tc>
      </w:tr>
      <w:tr w:rsidR="002944BB" w14:paraId="2D03E45B" w14:textId="77777777" w:rsidTr="00297F98">
        <w:tc>
          <w:tcPr>
            <w:tcW w:w="3227" w:type="dxa"/>
          </w:tcPr>
          <w:p w14:paraId="464B256E" w14:textId="77777777" w:rsidR="002944BB" w:rsidRPr="002944BB" w:rsidRDefault="002944BB" w:rsidP="00297F98">
            <w:pPr>
              <w:rPr>
                <w:b/>
              </w:rPr>
            </w:pPr>
            <w:r w:rsidRPr="002944BB">
              <w:rPr>
                <w:b/>
              </w:rPr>
              <w:t>Compétence</w:t>
            </w:r>
          </w:p>
        </w:tc>
        <w:tc>
          <w:tcPr>
            <w:tcW w:w="10917" w:type="dxa"/>
          </w:tcPr>
          <w:p w14:paraId="4BE7D376" w14:textId="77777777" w:rsidR="002944BB" w:rsidRDefault="002944BB" w:rsidP="00297F98">
            <w:r>
              <w:t>La compétence ne s’oppose pas aux connaissances (peut-être à redéfinir pour certains enseignants)</w:t>
            </w:r>
          </w:p>
          <w:p w14:paraId="17A8424B" w14:textId="77777777" w:rsidR="002944BB" w:rsidRDefault="002944BB" w:rsidP="00297F98">
            <w:r>
              <w:t>Niveau d’appropriation, palier, échelle…</w:t>
            </w:r>
          </w:p>
        </w:tc>
      </w:tr>
      <w:tr w:rsidR="002944BB" w14:paraId="50C5B7FA" w14:textId="77777777" w:rsidTr="00297F98">
        <w:tc>
          <w:tcPr>
            <w:tcW w:w="3227" w:type="dxa"/>
          </w:tcPr>
          <w:p w14:paraId="095C37E0" w14:textId="77777777" w:rsidR="002944BB" w:rsidRPr="002944BB" w:rsidRDefault="002944BB" w:rsidP="00297F98">
            <w:pPr>
              <w:rPr>
                <w:b/>
              </w:rPr>
            </w:pPr>
            <w:r w:rsidRPr="002944BB">
              <w:rPr>
                <w:b/>
              </w:rPr>
              <w:t>CP 5</w:t>
            </w:r>
          </w:p>
        </w:tc>
        <w:tc>
          <w:tcPr>
            <w:tcW w:w="10917" w:type="dxa"/>
          </w:tcPr>
          <w:p w14:paraId="31D8446C" w14:textId="77777777" w:rsidR="002944BB" w:rsidRPr="009F59F0" w:rsidRDefault="002944BB" w:rsidP="00297F98">
            <w:r w:rsidRPr="009F59F0">
              <w:t>Pourquoi pas de CA 5 sur gestion vie physique, santé ? Persiller le savoir s’entraîner (CP5) dans tous les CA pour préparer le futur lycéen (JL Mourier)</w:t>
            </w:r>
          </w:p>
        </w:tc>
      </w:tr>
      <w:tr w:rsidR="002944BB" w14:paraId="4024772F" w14:textId="77777777" w:rsidTr="00297F98">
        <w:tc>
          <w:tcPr>
            <w:tcW w:w="3227" w:type="dxa"/>
          </w:tcPr>
          <w:p w14:paraId="4C2FDC5E" w14:textId="77777777" w:rsidR="002944BB" w:rsidRPr="002944BB" w:rsidRDefault="002944BB" w:rsidP="00297F98">
            <w:pPr>
              <w:rPr>
                <w:b/>
              </w:rPr>
            </w:pPr>
            <w:r w:rsidRPr="002944BB">
              <w:rPr>
                <w:b/>
              </w:rPr>
              <w:t>Démarche péda</w:t>
            </w:r>
            <w:r w:rsidR="00BE2BD0">
              <w:rPr>
                <w:b/>
              </w:rPr>
              <w:t>gogique</w:t>
            </w:r>
          </w:p>
        </w:tc>
        <w:tc>
          <w:tcPr>
            <w:tcW w:w="10917" w:type="dxa"/>
          </w:tcPr>
          <w:p w14:paraId="6325E73A" w14:textId="77777777" w:rsidR="002944BB" w:rsidRDefault="002944BB" w:rsidP="00297F98">
            <w:r>
              <w:t>Créer le besoin… une problématique, une énigme, un dilemme, des contraintes, des ressources et des contradictions à gérer</w:t>
            </w:r>
            <w:r w:rsidR="00297F98">
              <w:t>, une difficulté à dépasser</w:t>
            </w:r>
          </w:p>
        </w:tc>
      </w:tr>
      <w:tr w:rsidR="000B6531" w14:paraId="23D79E45" w14:textId="77777777" w:rsidTr="000B6531">
        <w:tc>
          <w:tcPr>
            <w:tcW w:w="3227" w:type="dxa"/>
          </w:tcPr>
          <w:p w14:paraId="51FD1B1E" w14:textId="77777777" w:rsidR="000B6531" w:rsidRPr="002944BB" w:rsidRDefault="000B6531" w:rsidP="00432D3B">
            <w:pPr>
              <w:rPr>
                <w:b/>
              </w:rPr>
            </w:pPr>
            <w:r w:rsidRPr="002944BB">
              <w:rPr>
                <w:b/>
              </w:rPr>
              <w:t>Compétence attendue</w:t>
            </w:r>
          </w:p>
        </w:tc>
        <w:tc>
          <w:tcPr>
            <w:tcW w:w="10917" w:type="dxa"/>
          </w:tcPr>
          <w:p w14:paraId="76062DF4" w14:textId="37ED3B5D" w:rsidR="000B6531" w:rsidRDefault="000B6531" w:rsidP="00432D3B">
            <w:r>
              <w:t xml:space="preserve">Fin de la norme, pas de pilotage par le N2 des compétences attendus, mise en place </w:t>
            </w:r>
            <w:r w:rsidR="00EB6B56">
              <w:t>d’</w:t>
            </w:r>
            <w:r w:rsidR="00297F98">
              <w:t xml:space="preserve">un travail des attendus  (des CA ou du socle) et </w:t>
            </w:r>
            <w:r>
              <w:t xml:space="preserve">de repères de progressivité </w:t>
            </w:r>
            <w:r w:rsidR="00297F98">
              <w:t>dont l’un des paliers constitue un niveau d’acquisition</w:t>
            </w:r>
          </w:p>
          <w:p w14:paraId="661DE499" w14:textId="77777777" w:rsidR="0027373F" w:rsidRDefault="0027373F" w:rsidP="00297F98">
            <w:r>
              <w:t>La</w:t>
            </w:r>
            <w:r w:rsidR="00297F98">
              <w:t xml:space="preserve"> définition d’une</w:t>
            </w:r>
            <w:r>
              <w:t xml:space="preserve"> compétence attendue</w:t>
            </w:r>
            <w:r w:rsidR="00297F98">
              <w:t xml:space="preserve"> n’est pas une obligation car elle tend à figer dans le temps d’évaluation et s’apparenter à une épreuve d’évaluation sommative. Si elle est rédigée, elle</w:t>
            </w:r>
            <w:r>
              <w:t xml:space="preserve"> doit croiser Moteur x </w:t>
            </w:r>
            <w:r w:rsidR="00297F98">
              <w:t>(</w:t>
            </w:r>
            <w:r>
              <w:t>méthodo x social</w:t>
            </w:r>
            <w:r w:rsidR="00297F98">
              <w:t xml:space="preserve"> = socle) et être suffisamment ouverte pour être acquise dans le temps par l’observation dans des contextes divers</w:t>
            </w:r>
          </w:p>
        </w:tc>
      </w:tr>
      <w:tr w:rsidR="002944BB" w14:paraId="30B0166F" w14:textId="77777777" w:rsidTr="000B6531">
        <w:tc>
          <w:tcPr>
            <w:tcW w:w="3227" w:type="dxa"/>
          </w:tcPr>
          <w:p w14:paraId="21DF8AFE" w14:textId="77777777" w:rsidR="002944BB" w:rsidRPr="002944BB" w:rsidRDefault="002944BB" w:rsidP="00432D3B">
            <w:pPr>
              <w:rPr>
                <w:b/>
              </w:rPr>
            </w:pPr>
            <w:r>
              <w:rPr>
                <w:b/>
              </w:rPr>
              <w:t>Culture</w:t>
            </w:r>
          </w:p>
        </w:tc>
        <w:tc>
          <w:tcPr>
            <w:tcW w:w="10917" w:type="dxa"/>
          </w:tcPr>
          <w:p w14:paraId="17E40885" w14:textId="77777777" w:rsidR="002944BB" w:rsidRDefault="00F509C1" w:rsidP="000B6531">
            <w:r>
              <w:t xml:space="preserve">Conseil de lecture </w:t>
            </w:r>
            <w:r w:rsidR="002944BB">
              <w:t xml:space="preserve"> « L’EPS malade de ses non choix »</w:t>
            </w:r>
            <w:r>
              <w:t xml:space="preserve"> Coston / Ubaldi</w:t>
            </w:r>
          </w:p>
          <w:p w14:paraId="22278C6B" w14:textId="19509432" w:rsidR="00F509C1" w:rsidRDefault="00F509C1" w:rsidP="00F509C1">
            <w:r>
              <w:t>A partir de la réforme, on peut considérer que ce qui fait la culture, ce ne sont pas les pratiques sociales, mais les problèmes fondamentaux qu’elles portent en elles (la dimension fonctionnelle de l’APSA, c'est-à-d</w:t>
            </w:r>
            <w:r w:rsidR="00EB6B56">
              <w:t xml:space="preserve">ire les contradictions : Bad : </w:t>
            </w:r>
            <w:r>
              <w:t>frapper fort/précis              Lutte : équilibre/déséquilibre              CO : courir vite/se repérer …</w:t>
            </w:r>
          </w:p>
          <w:p w14:paraId="62429DE4" w14:textId="77777777" w:rsidR="00297F98" w:rsidRDefault="00297F98" w:rsidP="00F509C1">
            <w:r>
              <w:t>La culture renvoie également à la notion de culture corporelle, le corps fonctionnelle, la santé,  le bien-être</w:t>
            </w:r>
          </w:p>
        </w:tc>
      </w:tr>
      <w:tr w:rsidR="002944BB" w14:paraId="1E1CBFD1" w14:textId="77777777" w:rsidTr="00297F98">
        <w:tc>
          <w:tcPr>
            <w:tcW w:w="3227" w:type="dxa"/>
          </w:tcPr>
          <w:p w14:paraId="6E597BA9" w14:textId="77777777" w:rsidR="002944BB" w:rsidRPr="002944BB" w:rsidRDefault="002944BB" w:rsidP="00297F98">
            <w:pPr>
              <w:rPr>
                <w:b/>
              </w:rPr>
            </w:pPr>
            <w:r w:rsidRPr="002944BB">
              <w:rPr>
                <w:b/>
              </w:rPr>
              <w:t>EPI</w:t>
            </w:r>
          </w:p>
        </w:tc>
        <w:tc>
          <w:tcPr>
            <w:tcW w:w="10917" w:type="dxa"/>
          </w:tcPr>
          <w:p w14:paraId="79E9EC57" w14:textId="77777777" w:rsidR="002944BB" w:rsidRPr="009F59F0" w:rsidRDefault="002944BB" w:rsidP="00297F98">
            <w:r w:rsidRPr="009F59F0">
              <w:t>identifier les objets du savoir communs avec les autres disciplines (objet, concept, modèle…)</w:t>
            </w:r>
            <w:r>
              <w:t>. Attention à la pluridisciplinarité qui n’est pas l’interdisciplinarité.</w:t>
            </w:r>
          </w:p>
        </w:tc>
      </w:tr>
      <w:tr w:rsidR="002944BB" w14:paraId="43D11861" w14:textId="77777777" w:rsidTr="00297F98">
        <w:tc>
          <w:tcPr>
            <w:tcW w:w="3227" w:type="dxa"/>
          </w:tcPr>
          <w:p w14:paraId="4FF7724B" w14:textId="77777777" w:rsidR="002944BB" w:rsidRPr="002944BB" w:rsidRDefault="002944BB" w:rsidP="00297F98">
            <w:pPr>
              <w:rPr>
                <w:b/>
              </w:rPr>
            </w:pPr>
            <w:r w:rsidRPr="002944BB">
              <w:rPr>
                <w:b/>
              </w:rPr>
              <w:t>Evaluation</w:t>
            </w:r>
          </w:p>
        </w:tc>
        <w:tc>
          <w:tcPr>
            <w:tcW w:w="10917" w:type="dxa"/>
          </w:tcPr>
          <w:p w14:paraId="62E87804" w14:textId="77777777" w:rsidR="006E6F3A" w:rsidRDefault="009B119C" w:rsidP="00297F98">
            <w:r>
              <w:t>L’</w:t>
            </w:r>
            <w:r w:rsidR="002944BB" w:rsidRPr="009F59F0">
              <w:t>évaluation commune des AFC</w:t>
            </w:r>
            <w:r>
              <w:t xml:space="preserve"> par CA s’effectue à partir d’une </w:t>
            </w:r>
            <w:r w:rsidR="006E6F3A">
              <w:t>échelle descriptive avec notion de paliers</w:t>
            </w:r>
            <w:r>
              <w:t xml:space="preserve"> ambitieux s’apparentant à une progression dans le cycle (3 consolidation, 4 approfondissement)</w:t>
            </w:r>
          </w:p>
          <w:p w14:paraId="0B512A51" w14:textId="77777777" w:rsidR="001B4EC1" w:rsidRPr="009F59F0" w:rsidRDefault="001B4EC1" w:rsidP="009B119C">
            <w:r>
              <w:t>par contre plus de pilotage par la certification (disparition</w:t>
            </w:r>
            <w:r w:rsidR="009B119C">
              <w:t xml:space="preserve"> de la notion de N2 dans les APSA</w:t>
            </w:r>
            <w:r>
              <w:t xml:space="preserve"> protocole DNB)</w:t>
            </w:r>
          </w:p>
        </w:tc>
      </w:tr>
      <w:tr w:rsidR="002944BB" w14:paraId="4805FEB1" w14:textId="77777777" w:rsidTr="00297F98">
        <w:tc>
          <w:tcPr>
            <w:tcW w:w="3227" w:type="dxa"/>
          </w:tcPr>
          <w:p w14:paraId="47A1087F" w14:textId="77777777" w:rsidR="002944BB" w:rsidRPr="002944BB" w:rsidRDefault="002944BB" w:rsidP="00297F98">
            <w:pPr>
              <w:rPr>
                <w:b/>
              </w:rPr>
            </w:pPr>
            <w:r w:rsidRPr="002944BB">
              <w:rPr>
                <w:b/>
              </w:rPr>
              <w:t>Elève</w:t>
            </w:r>
          </w:p>
        </w:tc>
        <w:tc>
          <w:tcPr>
            <w:tcW w:w="10917" w:type="dxa"/>
          </w:tcPr>
          <w:p w14:paraId="07CFC004" w14:textId="77777777" w:rsidR="002944BB" w:rsidRPr="009F59F0" w:rsidRDefault="002944BB" w:rsidP="009B119C">
            <w:r>
              <w:t xml:space="preserve">C’est lui qui </w:t>
            </w:r>
            <w:r w:rsidR="009B119C">
              <w:t>fait</w:t>
            </w:r>
            <w:r>
              <w:t xml:space="preserve"> les choix.</w:t>
            </w:r>
            <w:r w:rsidR="009B119C">
              <w:t xml:space="preserve"> Le professeur les guide par leur sélection et les contextes d’exercices qu’il met en place</w:t>
            </w:r>
          </w:p>
        </w:tc>
      </w:tr>
      <w:tr w:rsidR="00483FDE" w14:paraId="55D8C6E4" w14:textId="77777777" w:rsidTr="00297F98">
        <w:tc>
          <w:tcPr>
            <w:tcW w:w="3227" w:type="dxa"/>
          </w:tcPr>
          <w:p w14:paraId="2908B0B5" w14:textId="77777777" w:rsidR="00483FDE" w:rsidRPr="002944BB" w:rsidRDefault="00483FDE" w:rsidP="00297F98">
            <w:pPr>
              <w:rPr>
                <w:b/>
              </w:rPr>
            </w:pPr>
            <w:r>
              <w:rPr>
                <w:b/>
              </w:rPr>
              <w:t>Finalité</w:t>
            </w:r>
          </w:p>
        </w:tc>
        <w:tc>
          <w:tcPr>
            <w:tcW w:w="10917" w:type="dxa"/>
          </w:tcPr>
          <w:p w14:paraId="4D6FD284" w14:textId="77777777" w:rsidR="00483FDE" w:rsidRDefault="005269AC" w:rsidP="00483FDE">
            <w:pPr>
              <w:rPr>
                <w:b/>
              </w:rPr>
            </w:pPr>
            <w:r w:rsidRPr="00483FDE">
              <w:rPr>
                <w:bCs/>
              </w:rPr>
              <w:t>l’EPS a pour finalité de former un citoyen lucide, autonome, physiquement et socialement éduqué</w:t>
            </w:r>
            <w:r w:rsidRPr="00483FDE">
              <w:t xml:space="preserve">, </w:t>
            </w:r>
            <w:r w:rsidRPr="00483FDE">
              <w:rPr>
                <w:bCs/>
              </w:rPr>
              <w:t>dans le souci du vivre ensemble</w:t>
            </w:r>
            <w:r w:rsidRPr="00483FDE">
              <w:t>.</w:t>
            </w:r>
            <w:r w:rsidRPr="00483FDE">
              <w:rPr>
                <w:b/>
              </w:rPr>
              <w:t xml:space="preserve"> </w:t>
            </w:r>
            <w:r w:rsidR="009B119C" w:rsidRPr="009B119C">
              <w:t>Elle a pour mission de construire le socle commun</w:t>
            </w:r>
          </w:p>
          <w:p w14:paraId="55EBE5B9" w14:textId="77777777" w:rsidR="00483FDE" w:rsidRPr="00744241" w:rsidRDefault="00483FDE" w:rsidP="00297F98">
            <w:r w:rsidRPr="00483FDE">
              <w:t xml:space="preserve">Termes forts : </w:t>
            </w:r>
            <w:r w:rsidR="005269AC" w:rsidRPr="00483FDE">
              <w:rPr>
                <w:bCs/>
              </w:rPr>
              <w:t>le bien-être</w:t>
            </w:r>
            <w:r w:rsidRPr="00483FDE">
              <w:rPr>
                <w:bCs/>
              </w:rPr>
              <w:t>, la</w:t>
            </w:r>
            <w:r w:rsidR="005269AC" w:rsidRPr="00483FDE">
              <w:t xml:space="preserve"> </w:t>
            </w:r>
            <w:r w:rsidR="005269AC" w:rsidRPr="00483FDE">
              <w:rPr>
                <w:bCs/>
              </w:rPr>
              <w:t>santé</w:t>
            </w:r>
            <w:r w:rsidR="005269AC" w:rsidRPr="00483FDE">
              <w:t xml:space="preserve">. l’inclusion, </w:t>
            </w:r>
            <w:r w:rsidRPr="00483FDE">
              <w:t xml:space="preserve">le </w:t>
            </w:r>
            <w:r w:rsidR="005269AC" w:rsidRPr="00483FDE">
              <w:rPr>
                <w:bCs/>
              </w:rPr>
              <w:t>plaisir</w:t>
            </w:r>
            <w:r w:rsidR="005269AC" w:rsidRPr="00483FDE">
              <w:t xml:space="preserve"> </w:t>
            </w:r>
          </w:p>
        </w:tc>
      </w:tr>
      <w:tr w:rsidR="002944BB" w14:paraId="6CAA35CF" w14:textId="77777777" w:rsidTr="00297F98">
        <w:tc>
          <w:tcPr>
            <w:tcW w:w="3227" w:type="dxa"/>
          </w:tcPr>
          <w:p w14:paraId="78530D1D" w14:textId="77777777" w:rsidR="002944BB" w:rsidRPr="002944BB" w:rsidRDefault="002944BB" w:rsidP="00297F98">
            <w:pPr>
              <w:rPr>
                <w:b/>
              </w:rPr>
            </w:pPr>
            <w:r w:rsidRPr="002944BB">
              <w:rPr>
                <w:b/>
              </w:rPr>
              <w:t>Logique curriculaire </w:t>
            </w:r>
          </w:p>
        </w:tc>
        <w:tc>
          <w:tcPr>
            <w:tcW w:w="10917" w:type="dxa"/>
          </w:tcPr>
          <w:p w14:paraId="252B0E25" w14:textId="77777777" w:rsidR="002944BB" w:rsidRPr="00EB6B56" w:rsidRDefault="002944BB" w:rsidP="00297F98">
            <w:r w:rsidRPr="00EB6B56">
              <w:t>C’est la mise en cohérence des finalités, des contenus d’enseignement, des mises en œuvre et de l’évaluation.</w:t>
            </w:r>
          </w:p>
          <w:p w14:paraId="7FCA579C" w14:textId="77777777" w:rsidR="002944BB" w:rsidRDefault="002944BB" w:rsidP="00297F98">
            <w:r>
              <w:t xml:space="preserve">Les « programmes ne sont plus la simple juxtaposition des programmes disciplinaires annuels imposant aux professeurs </w:t>
            </w:r>
            <w:r>
              <w:lastRenderedPageBreak/>
              <w:t>les contenus, les démarches, les méthodes et les progressions, visant un élève abstrait. Ils s’inscrivent dans un projet global (porté par une équipe d’enseignants), s’adressant à tous les élèves, plus attentif à la totalité de leur expérience et faisant davantage confiance à la professionnalité des professeurs (programmes moins contraignant, plus responsabilisant)</w:t>
            </w:r>
          </w:p>
          <w:p w14:paraId="10900864" w14:textId="77777777" w:rsidR="002944BB" w:rsidRDefault="002944BB" w:rsidP="00297F98">
            <w:r>
              <w:t>Ecueil : ce serait de différer à la fin du cycle ce qui peut et doit être engagé tout au long de celui-ci avec des gradations nécessaires dans les apprentissages.</w:t>
            </w:r>
          </w:p>
          <w:p w14:paraId="009E9C9A" w14:textId="77777777" w:rsidR="002944BB" w:rsidRDefault="002944BB" w:rsidP="00297F98">
            <w:r>
              <w:t>Mots-clés : parcours à construire, rythme personnalisé, centré sur l’élève, ressources multiples à disposition, autonomie des enseignants au regard de leur contexte d’exercice.</w:t>
            </w:r>
          </w:p>
          <w:p w14:paraId="5FEA833B" w14:textId="77777777" w:rsidR="002944BB" w:rsidRPr="0027373F" w:rsidRDefault="002944BB" w:rsidP="00297F98">
            <w:pPr>
              <w:tabs>
                <w:tab w:val="left" w:pos="7317"/>
              </w:tabs>
              <w:jc w:val="right"/>
              <w:rPr>
                <w:i/>
              </w:rPr>
            </w:pPr>
            <w:r>
              <w:rPr>
                <w:noProof/>
              </w:rPr>
              <w:drawing>
                <wp:anchor distT="0" distB="0" distL="114300" distR="114300" simplePos="0" relativeHeight="251665408" behindDoc="1" locked="0" layoutInCell="1" allowOverlap="1" wp14:anchorId="4CAF2ACF" wp14:editId="770A211C">
                  <wp:simplePos x="0" y="0"/>
                  <wp:positionH relativeFrom="column">
                    <wp:posOffset>15329</wp:posOffset>
                  </wp:positionH>
                  <wp:positionV relativeFrom="paragraph">
                    <wp:posOffset>-3825</wp:posOffset>
                  </wp:positionV>
                  <wp:extent cx="4407741" cy="1977656"/>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07741" cy="1977656"/>
                          </a:xfrm>
                          <a:prstGeom prst="rect">
                            <a:avLst/>
                          </a:prstGeom>
                          <a:noFill/>
                          <a:ln w="9525">
                            <a:noFill/>
                            <a:miter lim="800000"/>
                            <a:headEnd/>
                            <a:tailEnd/>
                          </a:ln>
                        </pic:spPr>
                      </pic:pic>
                    </a:graphicData>
                  </a:graphic>
                </wp:anchor>
              </w:drawing>
            </w:r>
            <w:r>
              <w:rPr>
                <w:i/>
              </w:rPr>
              <w:t>Réformes cu</w:t>
            </w:r>
            <w:r w:rsidRPr="0027373F">
              <w:rPr>
                <w:i/>
              </w:rPr>
              <w:t>r</w:t>
            </w:r>
            <w:r>
              <w:rPr>
                <w:i/>
              </w:rPr>
              <w:t>r</w:t>
            </w:r>
            <w:r w:rsidRPr="0027373F">
              <w:rPr>
                <w:i/>
              </w:rPr>
              <w:t>iculaires en Europe</w:t>
            </w:r>
          </w:p>
          <w:p w14:paraId="42B94C9F" w14:textId="77777777" w:rsidR="002944BB" w:rsidRDefault="002944BB" w:rsidP="00297F98"/>
          <w:p w14:paraId="59BD3B10" w14:textId="77777777" w:rsidR="002944BB" w:rsidRDefault="002944BB" w:rsidP="00297F98"/>
          <w:p w14:paraId="4B8FC3B5" w14:textId="77777777" w:rsidR="002944BB" w:rsidRDefault="002944BB" w:rsidP="00297F98"/>
          <w:p w14:paraId="6553C9FF" w14:textId="77777777" w:rsidR="002944BB" w:rsidRDefault="002944BB" w:rsidP="00297F98"/>
          <w:p w14:paraId="5A793445" w14:textId="77777777" w:rsidR="002944BB" w:rsidRDefault="002944BB" w:rsidP="00297F98"/>
          <w:p w14:paraId="76D725D6" w14:textId="77777777" w:rsidR="002944BB" w:rsidRDefault="002944BB" w:rsidP="00297F98"/>
          <w:p w14:paraId="36D37CBA" w14:textId="77777777" w:rsidR="002944BB" w:rsidRDefault="002944BB" w:rsidP="00297F98"/>
          <w:p w14:paraId="6A64BA51" w14:textId="77777777" w:rsidR="002944BB" w:rsidRDefault="002944BB" w:rsidP="00297F98"/>
          <w:p w14:paraId="354CB1F5" w14:textId="77777777" w:rsidR="002944BB" w:rsidRDefault="002944BB" w:rsidP="00297F98"/>
          <w:p w14:paraId="5A53D97F" w14:textId="77777777" w:rsidR="002944BB" w:rsidRDefault="002944BB" w:rsidP="00297F98"/>
          <w:p w14:paraId="5DCBC0A4" w14:textId="77777777" w:rsidR="002944BB" w:rsidRDefault="002944BB" w:rsidP="00297F98"/>
        </w:tc>
      </w:tr>
      <w:tr w:rsidR="002944BB" w14:paraId="504527BB" w14:textId="77777777" w:rsidTr="000B6531">
        <w:tc>
          <w:tcPr>
            <w:tcW w:w="3227" w:type="dxa"/>
          </w:tcPr>
          <w:p w14:paraId="58DF250F" w14:textId="77777777" w:rsidR="002944BB" w:rsidRPr="002944BB" w:rsidRDefault="002944BB" w:rsidP="00432D3B">
            <w:pPr>
              <w:rPr>
                <w:b/>
              </w:rPr>
            </w:pPr>
            <w:r w:rsidRPr="002944BB">
              <w:rPr>
                <w:b/>
              </w:rPr>
              <w:lastRenderedPageBreak/>
              <w:t>Programme</w:t>
            </w:r>
          </w:p>
        </w:tc>
        <w:tc>
          <w:tcPr>
            <w:tcW w:w="10917" w:type="dxa"/>
          </w:tcPr>
          <w:p w14:paraId="039D88CB" w14:textId="42922DFC" w:rsidR="006E6F3A" w:rsidRDefault="002944BB" w:rsidP="002944BB">
            <w:r>
              <w:t>Les programmes, on peut les prendre comme on veut.</w:t>
            </w:r>
            <w:r w:rsidR="009B119C">
              <w:t xml:space="preserve"> Il donne des orientations de travail</w:t>
            </w:r>
            <w:r w:rsidR="00EB6B56">
              <w:t xml:space="preserve"> à contextualiser selon le lieu</w:t>
            </w:r>
            <w:r w:rsidR="009B119C">
              <w:t xml:space="preserve"> d’enseignement et les projet d’établissement.</w:t>
            </w:r>
            <w:r>
              <w:t xml:space="preserve"> Ils donnent à voir les possibles</w:t>
            </w:r>
          </w:p>
          <w:p w14:paraId="4D958D24" w14:textId="77777777" w:rsidR="006E6F3A" w:rsidRDefault="006E6F3A" w:rsidP="006E6F3A">
            <w:r>
              <w:t xml:space="preserve">Volet 1 : les spécificités </w:t>
            </w:r>
            <w:r w:rsidR="009B119C">
              <w:t>des élèves par</w:t>
            </w:r>
            <w:r>
              <w:t xml:space="preserve"> cycle</w:t>
            </w:r>
          </w:p>
          <w:p w14:paraId="7D547D29" w14:textId="77777777" w:rsidR="006E6F3A" w:rsidRDefault="006E6F3A" w:rsidP="006E6F3A">
            <w:r>
              <w:t>Volet 2 : contribution des enseignements au socle</w:t>
            </w:r>
          </w:p>
          <w:p w14:paraId="2D527AFE" w14:textId="77777777" w:rsidR="002944BB" w:rsidRDefault="006E6F3A" w:rsidP="002944BB">
            <w:r>
              <w:t>Volet 3 : Opérationnalisation en EPS</w:t>
            </w:r>
          </w:p>
        </w:tc>
      </w:tr>
      <w:tr w:rsidR="002944BB" w14:paraId="654FD903" w14:textId="77777777" w:rsidTr="00297F98">
        <w:tc>
          <w:tcPr>
            <w:tcW w:w="3227" w:type="dxa"/>
          </w:tcPr>
          <w:p w14:paraId="08121963" w14:textId="77777777" w:rsidR="002944BB" w:rsidRPr="002944BB" w:rsidRDefault="002944BB" w:rsidP="00297F98">
            <w:pPr>
              <w:rPr>
                <w:b/>
              </w:rPr>
            </w:pPr>
            <w:r w:rsidRPr="002944BB">
              <w:rPr>
                <w:b/>
              </w:rPr>
              <w:t>Parcours</w:t>
            </w:r>
            <w:r w:rsidR="006E6F3A">
              <w:rPr>
                <w:b/>
              </w:rPr>
              <w:t xml:space="preserve"> de formation</w:t>
            </w:r>
          </w:p>
        </w:tc>
        <w:tc>
          <w:tcPr>
            <w:tcW w:w="10917" w:type="dxa"/>
          </w:tcPr>
          <w:p w14:paraId="3964A662" w14:textId="77777777" w:rsidR="002944BB" w:rsidRPr="002944BB" w:rsidRDefault="002944BB" w:rsidP="009B119C">
            <w:r w:rsidRPr="002944BB">
              <w:t xml:space="preserve">Trajet </w:t>
            </w:r>
            <w:r w:rsidR="009B119C">
              <w:t>défini pour</w:t>
            </w:r>
            <w:r w:rsidRPr="002944BB">
              <w:t xml:space="preserve"> l’élève</w:t>
            </w:r>
          </w:p>
        </w:tc>
      </w:tr>
      <w:tr w:rsidR="009B119C" w14:paraId="54724D10" w14:textId="77777777" w:rsidTr="00297F98">
        <w:tc>
          <w:tcPr>
            <w:tcW w:w="3227" w:type="dxa"/>
          </w:tcPr>
          <w:p w14:paraId="43453902" w14:textId="77777777" w:rsidR="009B119C" w:rsidRPr="002944BB" w:rsidRDefault="009B119C" w:rsidP="00297F98">
            <w:pPr>
              <w:rPr>
                <w:b/>
              </w:rPr>
            </w:pPr>
            <w:r>
              <w:rPr>
                <w:b/>
              </w:rPr>
              <w:t>Parcours d’apprentissage</w:t>
            </w:r>
          </w:p>
        </w:tc>
        <w:tc>
          <w:tcPr>
            <w:tcW w:w="10917" w:type="dxa"/>
          </w:tcPr>
          <w:p w14:paraId="51A8D14D" w14:textId="77777777" w:rsidR="009B119C" w:rsidRPr="002944BB" w:rsidRDefault="009B119C" w:rsidP="009B119C">
            <w:r>
              <w:t>Trajet réalisé par l’élève</w:t>
            </w:r>
          </w:p>
        </w:tc>
      </w:tr>
      <w:tr w:rsidR="002944BB" w14:paraId="0213A587" w14:textId="77777777" w:rsidTr="00297F98">
        <w:tc>
          <w:tcPr>
            <w:tcW w:w="3227" w:type="dxa"/>
          </w:tcPr>
          <w:p w14:paraId="400353B3" w14:textId="77777777" w:rsidR="002944BB" w:rsidRPr="002944BB" w:rsidRDefault="002944BB" w:rsidP="00297F98">
            <w:pPr>
              <w:rPr>
                <w:b/>
              </w:rPr>
            </w:pPr>
            <w:r w:rsidRPr="002944BB">
              <w:rPr>
                <w:b/>
              </w:rPr>
              <w:t>Projet péda</w:t>
            </w:r>
            <w:r>
              <w:rPr>
                <w:b/>
              </w:rPr>
              <w:t>gogique</w:t>
            </w:r>
          </w:p>
        </w:tc>
        <w:tc>
          <w:tcPr>
            <w:tcW w:w="10917" w:type="dxa"/>
          </w:tcPr>
          <w:p w14:paraId="5AAEE1A7" w14:textId="77777777" w:rsidR="002944BB" w:rsidRDefault="002944BB" w:rsidP="00297F98">
            <w:r>
              <w:t>vu comme outil de formalisation du parcours de formation de l’élève, équilibré et progressif</w:t>
            </w:r>
          </w:p>
        </w:tc>
      </w:tr>
      <w:tr w:rsidR="002944BB" w14:paraId="20A3B09D" w14:textId="77777777" w:rsidTr="000B6531">
        <w:tc>
          <w:tcPr>
            <w:tcW w:w="3227" w:type="dxa"/>
          </w:tcPr>
          <w:p w14:paraId="46C1E80F" w14:textId="77777777" w:rsidR="002944BB" w:rsidRPr="002944BB" w:rsidRDefault="002944BB" w:rsidP="00432D3B">
            <w:pPr>
              <w:rPr>
                <w:b/>
              </w:rPr>
            </w:pPr>
            <w:r w:rsidRPr="002944BB">
              <w:rPr>
                <w:b/>
              </w:rPr>
              <w:t>Posture de l’enseignant / l’élève</w:t>
            </w:r>
          </w:p>
        </w:tc>
        <w:tc>
          <w:tcPr>
            <w:tcW w:w="10917" w:type="dxa"/>
          </w:tcPr>
          <w:p w14:paraId="17F07440" w14:textId="7CFAF4A9" w:rsidR="002944BB" w:rsidRDefault="002944BB" w:rsidP="002944BB">
            <w:r>
              <w:t>Enseignant : médiateur, il questionne, le « doute » comme posture péda</w:t>
            </w:r>
            <w:r w:rsidR="00EB6B56">
              <w:t>gogique</w:t>
            </w:r>
            <w:r>
              <w:t>, bienveillance et exigence</w:t>
            </w:r>
          </w:p>
          <w:p w14:paraId="7EA87BD6" w14:textId="77777777" w:rsidR="002944BB" w:rsidRDefault="002944BB" w:rsidP="009B119C">
            <w:r>
              <w:t xml:space="preserve">Elève : </w:t>
            </w:r>
            <w:r w:rsidR="009B119C">
              <w:t>praticien réflexif, chercheur expérimentateur</w:t>
            </w:r>
          </w:p>
        </w:tc>
      </w:tr>
      <w:tr w:rsidR="00483FDE" w14:paraId="66DD2E03" w14:textId="77777777" w:rsidTr="000B6531">
        <w:tc>
          <w:tcPr>
            <w:tcW w:w="3227" w:type="dxa"/>
          </w:tcPr>
          <w:p w14:paraId="42BB31DB" w14:textId="77777777" w:rsidR="00483FDE" w:rsidRPr="002944BB" w:rsidRDefault="00483FDE" w:rsidP="00432D3B">
            <w:pPr>
              <w:rPr>
                <w:b/>
              </w:rPr>
            </w:pPr>
            <w:r>
              <w:rPr>
                <w:b/>
              </w:rPr>
              <w:t>Repères de progressivité</w:t>
            </w:r>
          </w:p>
        </w:tc>
        <w:tc>
          <w:tcPr>
            <w:tcW w:w="10917" w:type="dxa"/>
          </w:tcPr>
          <w:p w14:paraId="22746897" w14:textId="77777777" w:rsidR="00483FDE" w:rsidRPr="00483FDE" w:rsidRDefault="00483FDE" w:rsidP="002944BB">
            <w:r w:rsidRPr="00483FDE">
              <w:rPr>
                <w:bCs/>
                <w:iCs/>
              </w:rPr>
              <w:t xml:space="preserve">Il revient à l’équipe pédagogique d’en planifier le </w:t>
            </w:r>
            <w:r w:rsidRPr="00EB6B56">
              <w:rPr>
                <w:bCs/>
                <w:iCs/>
              </w:rPr>
              <w:t>choix et les étapes de progression, afin</w:t>
            </w:r>
            <w:r w:rsidRPr="00483FDE">
              <w:rPr>
                <w:bCs/>
                <w:iCs/>
              </w:rPr>
              <w:t xml:space="preserve"> de garantir à chaque élève l’atteinte des attendus de fin cycle</w:t>
            </w:r>
            <w:r w:rsidR="009B119C">
              <w:rPr>
                <w:bCs/>
                <w:iCs/>
              </w:rPr>
              <w:t xml:space="preserve"> et du socle commun</w:t>
            </w:r>
          </w:p>
        </w:tc>
      </w:tr>
    </w:tbl>
    <w:p w14:paraId="4E3B1C08" w14:textId="77777777" w:rsidR="00CF72C3" w:rsidRDefault="00CF72C3" w:rsidP="00432D3B">
      <w:r>
        <w:t xml:space="preserve"> </w:t>
      </w:r>
    </w:p>
    <w:sectPr w:rsidR="00CF72C3" w:rsidSect="00483FDE">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E765F" w14:textId="77777777" w:rsidR="008F4DC1" w:rsidRDefault="008F4DC1" w:rsidP="00432D3B">
      <w:pPr>
        <w:spacing w:after="0" w:line="240" w:lineRule="auto"/>
      </w:pPr>
      <w:r>
        <w:separator/>
      </w:r>
    </w:p>
  </w:endnote>
  <w:endnote w:type="continuationSeparator" w:id="0">
    <w:p w14:paraId="706CE90E" w14:textId="77777777" w:rsidR="008F4DC1" w:rsidRDefault="008F4DC1" w:rsidP="0043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52E2D" w14:textId="77777777" w:rsidR="008F4DC1" w:rsidRDefault="008F4DC1" w:rsidP="00432D3B">
      <w:pPr>
        <w:spacing w:after="0" w:line="240" w:lineRule="auto"/>
      </w:pPr>
      <w:r>
        <w:separator/>
      </w:r>
    </w:p>
  </w:footnote>
  <w:footnote w:type="continuationSeparator" w:id="0">
    <w:p w14:paraId="49BCE0DE" w14:textId="77777777" w:rsidR="008F4DC1" w:rsidRDefault="008F4DC1" w:rsidP="00432D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91E5D"/>
    <w:multiLevelType w:val="hybridMultilevel"/>
    <w:tmpl w:val="75A4ABCE"/>
    <w:lvl w:ilvl="0" w:tplc="DAD6D0B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C95919"/>
    <w:multiLevelType w:val="hybridMultilevel"/>
    <w:tmpl w:val="A5BA4194"/>
    <w:lvl w:ilvl="0" w:tplc="2F8C9EB6">
      <w:start w:val="1"/>
      <w:numFmt w:val="bullet"/>
      <w:lvlText w:val=""/>
      <w:lvlJc w:val="left"/>
      <w:pPr>
        <w:tabs>
          <w:tab w:val="num" w:pos="720"/>
        </w:tabs>
        <w:ind w:left="720" w:hanging="360"/>
      </w:pPr>
      <w:rPr>
        <w:rFonts w:ascii="Wingdings" w:hAnsi="Wingdings" w:hint="default"/>
      </w:rPr>
    </w:lvl>
    <w:lvl w:ilvl="1" w:tplc="553C73F0" w:tentative="1">
      <w:start w:val="1"/>
      <w:numFmt w:val="bullet"/>
      <w:lvlText w:val=""/>
      <w:lvlJc w:val="left"/>
      <w:pPr>
        <w:tabs>
          <w:tab w:val="num" w:pos="1440"/>
        </w:tabs>
        <w:ind w:left="1440" w:hanging="360"/>
      </w:pPr>
      <w:rPr>
        <w:rFonts w:ascii="Wingdings" w:hAnsi="Wingdings" w:hint="default"/>
      </w:rPr>
    </w:lvl>
    <w:lvl w:ilvl="2" w:tplc="372CEF74" w:tentative="1">
      <w:start w:val="1"/>
      <w:numFmt w:val="bullet"/>
      <w:lvlText w:val=""/>
      <w:lvlJc w:val="left"/>
      <w:pPr>
        <w:tabs>
          <w:tab w:val="num" w:pos="2160"/>
        </w:tabs>
        <w:ind w:left="2160" w:hanging="360"/>
      </w:pPr>
      <w:rPr>
        <w:rFonts w:ascii="Wingdings" w:hAnsi="Wingdings" w:hint="default"/>
      </w:rPr>
    </w:lvl>
    <w:lvl w:ilvl="3" w:tplc="F1C81004" w:tentative="1">
      <w:start w:val="1"/>
      <w:numFmt w:val="bullet"/>
      <w:lvlText w:val=""/>
      <w:lvlJc w:val="left"/>
      <w:pPr>
        <w:tabs>
          <w:tab w:val="num" w:pos="2880"/>
        </w:tabs>
        <w:ind w:left="2880" w:hanging="360"/>
      </w:pPr>
      <w:rPr>
        <w:rFonts w:ascii="Wingdings" w:hAnsi="Wingdings" w:hint="default"/>
      </w:rPr>
    </w:lvl>
    <w:lvl w:ilvl="4" w:tplc="BA94741E" w:tentative="1">
      <w:start w:val="1"/>
      <w:numFmt w:val="bullet"/>
      <w:lvlText w:val=""/>
      <w:lvlJc w:val="left"/>
      <w:pPr>
        <w:tabs>
          <w:tab w:val="num" w:pos="3600"/>
        </w:tabs>
        <w:ind w:left="3600" w:hanging="360"/>
      </w:pPr>
      <w:rPr>
        <w:rFonts w:ascii="Wingdings" w:hAnsi="Wingdings" w:hint="default"/>
      </w:rPr>
    </w:lvl>
    <w:lvl w:ilvl="5" w:tplc="039489E0" w:tentative="1">
      <w:start w:val="1"/>
      <w:numFmt w:val="bullet"/>
      <w:lvlText w:val=""/>
      <w:lvlJc w:val="left"/>
      <w:pPr>
        <w:tabs>
          <w:tab w:val="num" w:pos="4320"/>
        </w:tabs>
        <w:ind w:left="4320" w:hanging="360"/>
      </w:pPr>
      <w:rPr>
        <w:rFonts w:ascii="Wingdings" w:hAnsi="Wingdings" w:hint="default"/>
      </w:rPr>
    </w:lvl>
    <w:lvl w:ilvl="6" w:tplc="F418C10E" w:tentative="1">
      <w:start w:val="1"/>
      <w:numFmt w:val="bullet"/>
      <w:lvlText w:val=""/>
      <w:lvlJc w:val="left"/>
      <w:pPr>
        <w:tabs>
          <w:tab w:val="num" w:pos="5040"/>
        </w:tabs>
        <w:ind w:left="5040" w:hanging="360"/>
      </w:pPr>
      <w:rPr>
        <w:rFonts w:ascii="Wingdings" w:hAnsi="Wingdings" w:hint="default"/>
      </w:rPr>
    </w:lvl>
    <w:lvl w:ilvl="7" w:tplc="E4623002" w:tentative="1">
      <w:start w:val="1"/>
      <w:numFmt w:val="bullet"/>
      <w:lvlText w:val=""/>
      <w:lvlJc w:val="left"/>
      <w:pPr>
        <w:tabs>
          <w:tab w:val="num" w:pos="5760"/>
        </w:tabs>
        <w:ind w:left="5760" w:hanging="360"/>
      </w:pPr>
      <w:rPr>
        <w:rFonts w:ascii="Wingdings" w:hAnsi="Wingdings" w:hint="default"/>
      </w:rPr>
    </w:lvl>
    <w:lvl w:ilvl="8" w:tplc="2D68455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3B"/>
    <w:rsid w:val="000665FF"/>
    <w:rsid w:val="0009138F"/>
    <w:rsid w:val="000B6531"/>
    <w:rsid w:val="001B4EC1"/>
    <w:rsid w:val="0020270A"/>
    <w:rsid w:val="0027373F"/>
    <w:rsid w:val="002944BB"/>
    <w:rsid w:val="00297F98"/>
    <w:rsid w:val="00302FBD"/>
    <w:rsid w:val="003166F3"/>
    <w:rsid w:val="00337EAF"/>
    <w:rsid w:val="00363291"/>
    <w:rsid w:val="003A3A68"/>
    <w:rsid w:val="00432D3B"/>
    <w:rsid w:val="00467E7C"/>
    <w:rsid w:val="00483FDE"/>
    <w:rsid w:val="004A7B35"/>
    <w:rsid w:val="005269AC"/>
    <w:rsid w:val="00535ECA"/>
    <w:rsid w:val="00544CBE"/>
    <w:rsid w:val="00561BA4"/>
    <w:rsid w:val="005D0296"/>
    <w:rsid w:val="005E7115"/>
    <w:rsid w:val="006C32A2"/>
    <w:rsid w:val="006E6F3A"/>
    <w:rsid w:val="006F139B"/>
    <w:rsid w:val="00744241"/>
    <w:rsid w:val="007A3982"/>
    <w:rsid w:val="008D2908"/>
    <w:rsid w:val="008F4DC1"/>
    <w:rsid w:val="009B119C"/>
    <w:rsid w:val="009F59F0"/>
    <w:rsid w:val="00A07208"/>
    <w:rsid w:val="00A84F47"/>
    <w:rsid w:val="00B30877"/>
    <w:rsid w:val="00BE2BD0"/>
    <w:rsid w:val="00C33069"/>
    <w:rsid w:val="00CC11EC"/>
    <w:rsid w:val="00CF72C3"/>
    <w:rsid w:val="00D60225"/>
    <w:rsid w:val="00DB0AAC"/>
    <w:rsid w:val="00DB5D12"/>
    <w:rsid w:val="00E50444"/>
    <w:rsid w:val="00E95FA6"/>
    <w:rsid w:val="00EB6B56"/>
    <w:rsid w:val="00F2168E"/>
    <w:rsid w:val="00F509C1"/>
    <w:rsid w:val="00F831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48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32D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2D3B"/>
  </w:style>
  <w:style w:type="paragraph" w:styleId="Pieddepage">
    <w:name w:val="footer"/>
    <w:basedOn w:val="Normal"/>
    <w:link w:val="PieddepageCar"/>
    <w:uiPriority w:val="99"/>
    <w:semiHidden/>
    <w:unhideWhenUsed/>
    <w:rsid w:val="00432D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2D3B"/>
  </w:style>
  <w:style w:type="paragraph" w:styleId="Paragraphedeliste">
    <w:name w:val="List Paragraph"/>
    <w:basedOn w:val="Normal"/>
    <w:uiPriority w:val="34"/>
    <w:qFormat/>
    <w:rsid w:val="00561BA4"/>
    <w:pPr>
      <w:ind w:left="720"/>
      <w:contextualSpacing/>
    </w:pPr>
  </w:style>
  <w:style w:type="table" w:styleId="Grille">
    <w:name w:val="Table Grid"/>
    <w:basedOn w:val="TableauNormal"/>
    <w:uiPriority w:val="59"/>
    <w:rsid w:val="000B6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737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73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32D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2D3B"/>
  </w:style>
  <w:style w:type="paragraph" w:styleId="Pieddepage">
    <w:name w:val="footer"/>
    <w:basedOn w:val="Normal"/>
    <w:link w:val="PieddepageCar"/>
    <w:uiPriority w:val="99"/>
    <w:semiHidden/>
    <w:unhideWhenUsed/>
    <w:rsid w:val="00432D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2D3B"/>
  </w:style>
  <w:style w:type="paragraph" w:styleId="Paragraphedeliste">
    <w:name w:val="List Paragraph"/>
    <w:basedOn w:val="Normal"/>
    <w:uiPriority w:val="34"/>
    <w:qFormat/>
    <w:rsid w:val="00561BA4"/>
    <w:pPr>
      <w:ind w:left="720"/>
      <w:contextualSpacing/>
    </w:pPr>
  </w:style>
  <w:style w:type="table" w:styleId="Grille">
    <w:name w:val="Table Grid"/>
    <w:basedOn w:val="TableauNormal"/>
    <w:uiPriority w:val="59"/>
    <w:rsid w:val="000B6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737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77472">
      <w:bodyDiv w:val="1"/>
      <w:marLeft w:val="0"/>
      <w:marRight w:val="0"/>
      <w:marTop w:val="0"/>
      <w:marBottom w:val="0"/>
      <w:divBdr>
        <w:top w:val="none" w:sz="0" w:space="0" w:color="auto"/>
        <w:left w:val="none" w:sz="0" w:space="0" w:color="auto"/>
        <w:bottom w:val="none" w:sz="0" w:space="0" w:color="auto"/>
        <w:right w:val="none" w:sz="0" w:space="0" w:color="auto"/>
      </w:divBdr>
      <w:divsChild>
        <w:div w:id="1573006299">
          <w:marLeft w:val="389"/>
          <w:marRight w:val="0"/>
          <w:marTop w:val="346"/>
          <w:marBottom w:val="23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739</Words>
  <Characters>4066</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Delphine Evain</cp:lastModifiedBy>
  <cp:revision>3</cp:revision>
  <dcterms:created xsi:type="dcterms:W3CDTF">2016-04-21T12:30:00Z</dcterms:created>
  <dcterms:modified xsi:type="dcterms:W3CDTF">2016-06-16T16:38:00Z</dcterms:modified>
</cp:coreProperties>
</file>