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/>
      <w:bookmarkStart w:id="0" w:name="_GoBack"/>
      <w:r/>
      <w:bookmarkEnd w:id="0"/>
      <w:r>
        <w:rPr>
          <w:rFonts w:ascii="Arial" w:hAnsi="Arial" w:cs="Arial"/>
          <w:b/>
          <w:color w:val="0070C0"/>
          <w:sz w:val="28"/>
          <w:szCs w:val="28"/>
        </w:rPr>
        <w:t xml:space="preserve">ÉCHELLE DESCRIPTIVE</w:t>
      </w:r>
      <w:r/>
    </w:p>
    <w:p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MATHÉMATIQUES – PHYSIQUE – CHIMIE</w:t>
      </w:r>
      <w:r/>
    </w:p>
    <w:p>
      <w:pPr>
        <w:jc w:val="right"/>
        <w:rPr>
          <w:rFonts w:ascii="Arial" w:hAnsi="Arial" w:cs="Arial"/>
          <w:b/>
          <w:i/>
          <w:color w:val="0070C0"/>
          <w:sz w:val="16"/>
          <w:szCs w:val="16"/>
        </w:rPr>
      </w:pPr>
      <w:r>
        <w:rPr>
          <w:rFonts w:ascii="Arial" w:hAnsi="Arial" w:cs="Arial"/>
          <w:b/>
          <w:i/>
          <w:color w:val="0070C0"/>
          <w:sz w:val="16"/>
          <w:szCs w:val="16"/>
        </w:rPr>
        <w:t xml:space="preserve">Proposition académie de Nantes, </w:t>
      </w:r>
      <w:r>
        <w:rPr>
          <w:rFonts w:ascii="Arial" w:hAnsi="Arial" w:cs="Arial"/>
          <w:b/>
          <w:i/>
          <w:color w:val="0070C0"/>
          <w:sz w:val="16"/>
          <w:szCs w:val="16"/>
        </w:rPr>
        <w:t xml:space="preserve">màj</w:t>
      </w:r>
      <w:r>
        <w:rPr>
          <w:rFonts w:ascii="Arial" w:hAnsi="Arial" w:cs="Arial"/>
          <w:b/>
          <w:i/>
          <w:color w:val="0070C0"/>
          <w:sz w:val="16"/>
          <w:szCs w:val="16"/>
        </w:rPr>
        <w:t xml:space="preserve">. </w:t>
      </w:r>
      <w:r>
        <w:rPr>
          <w:rFonts w:ascii="Arial" w:hAnsi="Arial" w:cs="Arial"/>
          <w:b/>
          <w:i/>
          <w:color w:val="0070C0"/>
          <w:sz w:val="16"/>
          <w:szCs w:val="16"/>
        </w:rPr>
        <w:t xml:space="preserve">Avril 2022</w:t>
      </w:r>
      <w:r/>
    </w:p>
    <w:p>
      <w:pPr>
        <w:pStyle w:val="695"/>
        <w:numPr>
          <w:ilvl w:val="0"/>
          <w:numId w:val="1"/>
        </w:numPr>
        <w:ind w:left="-142"/>
        <w:jc w:val="both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L’échelle ci-dessous présente des </w:t>
      </w:r>
      <w:r>
        <w:rPr>
          <w:rFonts w:ascii="Arial" w:hAnsi="Arial" w:cs="Arial"/>
          <w:sz w:val="20"/>
          <w:szCs w:val="20"/>
        </w:rPr>
        <w:t xml:space="preserve">descripteurs pour chacun des niveaux de maîtrise de des</w:t>
      </w:r>
      <w:r>
        <w:rPr>
          <w:rFonts w:ascii="Arial" w:hAnsi="Arial" w:cs="Arial"/>
          <w:sz w:val="20"/>
          <w:szCs w:val="20"/>
        </w:rPr>
        <w:t xml:space="preserve"> compétences de la grille nationale.</w:t>
      </w:r>
      <w:r>
        <w:rPr>
          <w:rFonts w:ascii="Arial" w:hAnsi="Arial" w:cs="Arial"/>
          <w:sz w:val="20"/>
          <w:szCs w:val="20"/>
        </w:rPr>
        <w:t xml:space="preserve"> Il a été choisi de construire cette échelle sur quatre niveaux de maîtrise.</w:t>
      </w:r>
      <w:r/>
    </w:p>
    <w:p>
      <w:pPr>
        <w:pStyle w:val="695"/>
        <w:numPr>
          <w:ilvl w:val="0"/>
          <w:numId w:val="1"/>
        </w:numPr>
        <w:ind w:left="-142"/>
        <w:jc w:val="both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L’élément central de la mise en œuvre de ces compétences est une situation problématisée permettant d’observer la démarche scientifique développée par l’élève</w:t>
      </w:r>
      <w:r>
        <w:rPr>
          <w:rFonts w:ascii="Arial" w:hAnsi="Arial" w:cs="Arial"/>
          <w:sz w:val="20"/>
          <w:szCs w:val="20"/>
        </w:rPr>
        <w:t xml:space="preserve"> au cours de la résolution du problème.</w:t>
      </w:r>
      <w:r/>
    </w:p>
    <w:p>
      <w:pPr>
        <w:pStyle w:val="695"/>
        <w:numPr>
          <w:ilvl w:val="0"/>
          <w:numId w:val="1"/>
        </w:numPr>
        <w:ind w:left="-142"/>
        <w:jc w:val="both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Cette échelle descriptive se veut globale et synthétique</w:t>
      </w:r>
      <w:r>
        <w:rPr>
          <w:rFonts w:ascii="Arial" w:hAnsi="Arial" w:cs="Arial"/>
          <w:sz w:val="20"/>
          <w:szCs w:val="20"/>
        </w:rPr>
        <w:t xml:space="preserve"> pour répondre à la diversité des publics ; elle </w:t>
      </w:r>
      <w:r>
        <w:rPr>
          <w:rFonts w:ascii="Arial" w:hAnsi="Arial" w:cs="Arial"/>
          <w:sz w:val="20"/>
          <w:szCs w:val="20"/>
        </w:rPr>
        <w:t xml:space="preserve">peut être utilisée à tous les </w:t>
      </w:r>
      <w:r>
        <w:rPr>
          <w:rFonts w:ascii="Arial" w:hAnsi="Arial" w:cs="Arial"/>
          <w:sz w:val="20"/>
          <w:szCs w:val="20"/>
        </w:rPr>
        <w:t xml:space="preserve">niveaux de formation.</w:t>
      </w:r>
      <w:r/>
    </w:p>
    <w:p>
      <w:pPr>
        <w:pStyle w:val="695"/>
        <w:jc w:val="bot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/>
    </w:p>
    <w:tbl>
      <w:tblPr>
        <w:tblW w:w="5390" w:type="pct"/>
        <w:jc w:val="center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1145"/>
        <w:gridCol w:w="1114"/>
        <w:gridCol w:w="1774"/>
        <w:gridCol w:w="1901"/>
        <w:gridCol w:w="1901"/>
        <w:gridCol w:w="1942"/>
      </w:tblGrid>
      <w:tr>
        <w:trPr>
          <w:jc w:val="center"/>
        </w:trPr>
        <w:tc>
          <w:tcPr>
            <w:gridSpan w:val="2"/>
            <w:shd w:val="clear" w:color="auto" w:fill="auto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1156" w:type="pct"/>
            <w:textDirection w:val="lrTb"/>
            <w:noWrap w:val="false"/>
          </w:tcPr>
          <w:p>
            <w:pPr>
              <w:pStyle w:val="697"/>
              <w:jc w:val="center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Les 5 compétences</w:t>
            </w:r>
            <w:r/>
          </w:p>
          <w:p>
            <w:pPr>
              <w:pStyle w:val="697"/>
              <w:jc w:val="center"/>
              <w:rPr>
                <w:rFonts w:ascii="Marianne" w:hAnsi="Marianne" w:cs="Arial"/>
                <w:bCs/>
                <w:i/>
                <w:sz w:val="16"/>
                <w:szCs w:val="16"/>
              </w:rPr>
            </w:pPr>
            <w:r>
              <w:rPr>
                <w:rFonts w:ascii="Marianne" w:hAnsi="Marianne" w:cs="Arial"/>
                <w:bCs/>
                <w:i/>
                <w:sz w:val="16"/>
                <w:szCs w:val="16"/>
              </w:rPr>
              <w:t xml:space="preserve">Capacités associées en </w:t>
            </w:r>
            <w:r>
              <w:rPr>
                <w:rFonts w:ascii="Marianne" w:hAnsi="Marianne" w:cs="Arial"/>
                <w:bCs/>
                <w:i/>
                <w:color w:val="7030A0"/>
                <w:sz w:val="16"/>
                <w:szCs w:val="16"/>
              </w:rPr>
              <w:t xml:space="preserve">M</w:t>
            </w:r>
            <w:r>
              <w:rPr>
                <w:rFonts w:ascii="Marianne" w:hAnsi="Marianne" w:cs="Arial"/>
                <w:bCs/>
                <w:i/>
                <w:sz w:val="16"/>
                <w:szCs w:val="16"/>
              </w:rPr>
              <w:t xml:space="preserve"> et en </w:t>
            </w:r>
            <w:r>
              <w:rPr>
                <w:rFonts w:ascii="Marianne" w:hAnsi="Marianne" w:cs="Arial"/>
                <w:bCs/>
                <w:i/>
                <w:color w:val="00B050"/>
                <w:sz w:val="16"/>
                <w:szCs w:val="16"/>
              </w:rPr>
              <w:t xml:space="preserve">PC</w:t>
            </w:r>
            <w:r>
              <w:rPr>
                <w:rStyle w:val="702"/>
                <w:rFonts w:ascii="Marianne" w:hAnsi="Marianne" w:cs="Arial"/>
                <w:bCs/>
                <w:i/>
                <w:color w:val="00B050"/>
                <w:sz w:val="16"/>
                <w:szCs w:val="16"/>
              </w:rPr>
              <w:footnoteReference w:id="2"/>
            </w:r>
            <w:r/>
          </w:p>
        </w:tc>
        <w:tc>
          <w:tcPr>
            <w:shd w:val="clear" w:color="auto" w:fill="auto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907" w:type="pct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Maîtrise insuffisante</w:t>
            </w:r>
            <w:r/>
          </w:p>
        </w:tc>
        <w:tc>
          <w:tcPr>
            <w:shd w:val="clear" w:color="auto" w:fill="auto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972" w:type="pct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Maîtrise fragile</w:t>
            </w:r>
            <w:r/>
          </w:p>
        </w:tc>
        <w:tc>
          <w:tcPr>
            <w:shd w:val="clear" w:color="auto" w:fill="auto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972" w:type="pct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Maîtrise satisfaisante</w:t>
            </w:r>
            <w:r/>
          </w:p>
        </w:tc>
        <w:tc>
          <w:tcPr>
            <w:shd w:val="clear" w:color="auto" w:fill="auto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993" w:type="pct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Marianne" w:hAnsi="Marianne" w:cs="Arial"/>
                <w:sz w:val="16"/>
                <w:szCs w:val="16"/>
              </w:rPr>
            </w:pPr>
            <w:r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Très bonne maîtrise</w:t>
            </w:r>
            <w:r/>
          </w:p>
        </w:tc>
      </w:tr>
      <w:tr>
        <w:trPr>
          <w:jc w:val="center"/>
          <w:trHeight w:val="179"/>
        </w:trPr>
        <w:tc>
          <w:tcPr>
            <w:gridSpan w:val="2"/>
            <w:shd w:val="clear" w:color="auto" w:fill="auto"/>
            <w:tcBorders>
              <w:left w:val="single" w:color="000000" w:sz="1" w:space="0"/>
              <w:bottom w:val="single" w:color="000000" w:sz="1" w:space="0"/>
            </w:tcBorders>
            <w:tcW w:w="11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S'APPROPRIER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</w:tcBorders>
            <w:tcW w:w="907" w:type="pct"/>
            <w:vAlign w:val="center"/>
            <w:vMerge w:val="restart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  <w:t xml:space="preserve">L’élève relève des informations de manière inadéquate.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</w:tcBorders>
            <w:tcW w:w="972" w:type="pct"/>
            <w:vAlign w:val="center"/>
            <w:vMerge w:val="restart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  <w:t xml:space="preserve">L’élève extrait les informations utiles avec de l’aide. </w:t>
            </w:r>
            <w:r/>
          </w:p>
          <w:p>
            <w:pPr>
              <w:pStyle w:val="697"/>
              <w:rPr>
                <w:rFonts w:ascii="Marianne" w:hAnsi="Marianne" w:cs="Arial"/>
                <w:strike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strike/>
                <w:color w:val="0070C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</w:tcBorders>
            <w:tcW w:w="972" w:type="pct"/>
            <w:vAlign w:val="center"/>
            <w:vMerge w:val="restart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strike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  <w:t xml:space="preserve">L’élève identifie le problème posé avec aide et extrait les informations utiles.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right w:val="single" w:color="000000" w:sz="1" w:space="0"/>
            </w:tcBorders>
            <w:tcW w:w="993" w:type="pct"/>
            <w:vAlign w:val="center"/>
            <w:vMerge w:val="restart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strike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  <w:t xml:space="preserve">L’élève reformule le problème posé en indiquant les informations utiles à sa résolution.</w:t>
            </w:r>
            <w:r/>
          </w:p>
        </w:tc>
      </w:tr>
      <w:tr>
        <w:trPr>
          <w:jc w:val="center"/>
          <w:trHeight w:val="654"/>
        </w:trPr>
        <w:tc>
          <w:tcPr>
            <w:gridSpan w:val="2"/>
            <w:shd w:val="clear" w:color="auto" w:fill="auto"/>
            <w:tcBorders>
              <w:left w:val="single" w:color="000000" w:sz="1" w:space="0"/>
              <w:bottom w:val="single" w:color="000000" w:sz="1" w:space="0"/>
            </w:tcBorders>
            <w:tcW w:w="11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Marianne" w:hAnsi="Marianne" w:cs="Arial"/>
                <w:b/>
                <w:bCs/>
                <w:sz w:val="12"/>
                <w:szCs w:val="12"/>
              </w:rPr>
            </w:pPr>
            <w:r>
              <w:rPr>
                <w:rFonts w:ascii="Marianne" w:hAnsi="Marianne" w:cs="Arial"/>
                <w:i/>
                <w:iCs/>
                <w:sz w:val="12"/>
                <w:szCs w:val="12"/>
              </w:rPr>
              <w:t xml:space="preserve">Rechercher extraire et organiser l'information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bottom w:val="single" w:color="000000" w:sz="1" w:space="0"/>
            </w:tcBorders>
            <w:tcW w:w="907" w:type="pct"/>
            <w:vAlign w:val="center"/>
            <w:vMerge w:val="continue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bottom w:val="single" w:color="000000" w:sz="1" w:space="0"/>
            </w:tcBorders>
            <w:tcW w:w="972" w:type="pct"/>
            <w:vAlign w:val="center"/>
            <w:vMerge w:val="continue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bottom w:val="single" w:color="000000" w:sz="1" w:space="0"/>
            </w:tcBorders>
            <w:tcW w:w="972" w:type="pct"/>
            <w:vAlign w:val="center"/>
            <w:vMerge w:val="continue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993" w:type="pct"/>
            <w:vAlign w:val="center"/>
            <w:vMerge w:val="continue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</w:r>
            <w:r/>
          </w:p>
        </w:tc>
      </w:tr>
      <w:tr>
        <w:trPr>
          <w:jc w:val="center"/>
          <w:trHeight w:val="259"/>
        </w:trPr>
        <w:tc>
          <w:tcPr>
            <w:gridSpan w:val="2"/>
            <w:shd w:val="clear" w:color="auto" w:fill="auto"/>
            <w:tcBorders>
              <w:left w:val="single" w:color="000000" w:sz="1" w:space="0"/>
              <w:bottom w:val="single" w:color="auto" w:sz="4" w:space="0"/>
            </w:tcBorders>
            <w:tcW w:w="11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ANALYSER / RAISONNER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</w:tcBorders>
            <w:tcW w:w="907" w:type="pct"/>
            <w:vAlign w:val="center"/>
            <w:vMerge w:val="restart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  <w:t xml:space="preserve">L’élève initie une démarche de questionnements.</w:t>
            </w:r>
            <w:r>
              <w:rPr>
                <w:rFonts w:ascii="Marianne" w:hAnsi="Marianne"/>
                <w:sz w:val="16"/>
                <w:szCs w:val="16"/>
                <w:lang w:eastAsia="fr-FR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</w:tcBorders>
            <w:tcW w:w="972" w:type="pct"/>
            <w:vAlign w:val="center"/>
            <w:vMerge w:val="restart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  <w:t xml:space="preserve">L’élève identifie une ou des hypothèses et conçoit tout ou partie de la proposition de résolution avec une aide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</w:tcBorders>
            <w:tcW w:w="972" w:type="pct"/>
            <w:vAlign w:val="center"/>
            <w:vMerge w:val="restart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  <w:t xml:space="preserve">L’élève identifie une ou des hypothèses et conçoit tout ou partie de la proposition de résolution 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right w:val="single" w:color="000000" w:sz="1" w:space="0"/>
            </w:tcBorders>
            <w:tcW w:w="993" w:type="pct"/>
            <w:vAlign w:val="center"/>
            <w:vMerge w:val="restart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  <w:t xml:space="preserve">L’élève propose une stratégie de résolution en anticipant la validation ou l’infirmation de son hypothèse</w:t>
            </w:r>
            <w:r/>
          </w:p>
        </w:tc>
      </w:tr>
      <w:tr>
        <w:trPr>
          <w:jc w:val="center"/>
          <w:trHeight w:val="1492"/>
        </w:trPr>
        <w:tc>
          <w:tcPr>
            <w:shd w:val="clear" w:color="auto" w:fill="auto"/>
            <w:tcBorders>
              <w:left w:val="single" w:color="000000" w:sz="1" w:space="0"/>
              <w:bottom w:val="single" w:color="auto" w:sz="4" w:space="0"/>
            </w:tcBorders>
            <w:tcW w:w="586" w:type="pct"/>
            <w:textDirection w:val="lrTb"/>
            <w:noWrap w:val="false"/>
          </w:tcPr>
          <w:p>
            <w:pPr>
              <w:pStyle w:val="695"/>
              <w:spacing w:after="0" w:line="240" w:lineRule="auto"/>
              <w:rPr>
                <w:rFonts w:ascii="Marianne" w:hAnsi="Marianne" w:cs="Arial"/>
                <w:i/>
                <w:color w:val="7030A0"/>
                <w:sz w:val="12"/>
                <w:szCs w:val="12"/>
              </w:rPr>
            </w:pPr>
            <w:r>
              <w:rPr>
                <w:rFonts w:ascii="Marianne" w:hAnsi="Marianne" w:cs="Arial"/>
                <w:i/>
                <w:iCs/>
                <w:color w:val="7030A0"/>
                <w:sz w:val="12"/>
                <w:szCs w:val="12"/>
              </w:rPr>
              <w:t xml:space="preserve">Émettre des conjectures, une hypothèse</w:t>
            </w:r>
            <w:r>
              <w:rPr>
                <w:rFonts w:ascii="Calibri" w:hAnsi="Calibri" w:cs="Calibri"/>
                <w:i/>
                <w:iCs/>
                <w:color w:val="7030A0"/>
                <w:sz w:val="12"/>
                <w:szCs w:val="12"/>
              </w:rPr>
              <w:t xml:space="preserve"> </w:t>
            </w:r>
            <w:r>
              <w:rPr>
                <w:rFonts w:ascii="Marianne" w:hAnsi="Marianne" w:cs="Arial"/>
                <w:i/>
                <w:iCs/>
                <w:color w:val="7030A0"/>
                <w:sz w:val="12"/>
                <w:szCs w:val="12"/>
              </w:rPr>
              <w:t xml:space="preserve">;</w:t>
            </w:r>
            <w:r/>
          </w:p>
          <w:p>
            <w:pPr>
              <w:pStyle w:val="695"/>
              <w:spacing w:after="0" w:line="240" w:lineRule="auto"/>
              <w:rPr>
                <w:rFonts w:ascii="Marianne" w:hAnsi="Marianne" w:cs="Arial"/>
                <w:i/>
                <w:color w:val="7030A0"/>
                <w:sz w:val="12"/>
                <w:szCs w:val="12"/>
              </w:rPr>
            </w:pPr>
            <w:r>
              <w:rPr>
                <w:rFonts w:ascii="Marianne" w:hAnsi="Marianne" w:cs="Arial"/>
                <w:i/>
                <w:color w:val="7030A0"/>
                <w:sz w:val="12"/>
                <w:szCs w:val="12"/>
              </w:rPr>
              <w:t xml:space="preserve">Proposer, choisir une méthode de résolution, un protocole expérimental. </w:t>
            </w:r>
            <w:r/>
          </w:p>
          <w:p>
            <w:pPr>
              <w:spacing w:after="0" w:line="240" w:lineRule="auto"/>
              <w:rPr>
                <w:rFonts w:ascii="Marianne" w:hAnsi="Marianne" w:cs="Arial"/>
                <w:b/>
                <w:bCs/>
                <w:sz w:val="12"/>
                <w:szCs w:val="12"/>
              </w:rPr>
            </w:pPr>
            <w:r>
              <w:rPr>
                <w:rFonts w:ascii="Marianne" w:hAnsi="Marianne" w:cs="Arial"/>
                <w:i/>
                <w:color w:val="7030A0"/>
                <w:sz w:val="12"/>
                <w:szCs w:val="12"/>
              </w:rPr>
              <w:t xml:space="preserve">Élaborer un algorithme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bottom w:val="single" w:color="auto" w:sz="4" w:space="0"/>
            </w:tcBorders>
            <w:tcW w:w="570" w:type="pct"/>
            <w:textDirection w:val="lrTb"/>
            <w:noWrap w:val="false"/>
          </w:tcPr>
          <w:p>
            <w:pPr>
              <w:pStyle w:val="695"/>
              <w:spacing w:after="0"/>
              <w:rPr>
                <w:rFonts w:ascii="Marianne" w:hAnsi="Marianne" w:cs="Arial"/>
                <w:i/>
                <w:iCs/>
                <w:color w:val="00B050"/>
                <w:sz w:val="12"/>
                <w:szCs w:val="12"/>
              </w:rPr>
            </w:pPr>
            <w:r>
              <w:rPr>
                <w:rFonts w:ascii="Marianne" w:hAnsi="Marianne" w:cs="Arial"/>
                <w:i/>
                <w:iCs/>
                <w:color w:val="00B050"/>
                <w:sz w:val="12"/>
                <w:szCs w:val="12"/>
              </w:rPr>
              <w:t xml:space="preserve">Formuler des hypothèses. </w:t>
            </w:r>
            <w:r/>
          </w:p>
          <w:p>
            <w:pPr>
              <w:pStyle w:val="695"/>
              <w:spacing w:after="0"/>
              <w:rPr>
                <w:rFonts w:ascii="Marianne" w:hAnsi="Marianne" w:cs="Arial"/>
                <w:i/>
                <w:iCs/>
                <w:sz w:val="12"/>
                <w:szCs w:val="12"/>
              </w:rPr>
            </w:pPr>
            <w:r>
              <w:rPr>
                <w:rFonts w:ascii="Marianne" w:hAnsi="Marianne" w:cs="Arial"/>
                <w:i/>
                <w:iCs/>
                <w:color w:val="00B050"/>
                <w:sz w:val="12"/>
                <w:szCs w:val="12"/>
              </w:rPr>
              <w:t xml:space="preserve">Proposer , choisir une méthode de résolution ou un protocole expérimental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bottom w:val="single" w:color="000000" w:sz="1" w:space="0"/>
            </w:tcBorders>
            <w:tcW w:w="907" w:type="pct"/>
            <w:vAlign w:val="center"/>
            <w:vMerge w:val="continue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bottom w:val="single" w:color="000000" w:sz="1" w:space="0"/>
            </w:tcBorders>
            <w:tcW w:w="972" w:type="pct"/>
            <w:vAlign w:val="center"/>
            <w:vMerge w:val="continue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bottom w:val="single" w:color="000000" w:sz="1" w:space="0"/>
            </w:tcBorders>
            <w:tcW w:w="972" w:type="pct"/>
            <w:vAlign w:val="center"/>
            <w:vMerge w:val="continue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993" w:type="pct"/>
            <w:vAlign w:val="center"/>
            <w:vMerge w:val="continue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</w:r>
            <w:r/>
          </w:p>
        </w:tc>
      </w:tr>
      <w:tr>
        <w:trPr>
          <w:jc w:val="center"/>
          <w:trHeight w:val="356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000000" w:sz="1" w:space="0"/>
              <w:bottom w:val="single" w:color="auto" w:sz="4" w:space="0"/>
            </w:tcBorders>
            <w:tcW w:w="11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REALISER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</w:tcBorders>
            <w:tcW w:w="907" w:type="pct"/>
            <w:vAlign w:val="center"/>
            <w:vMerge w:val="restart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  <w:t xml:space="preserve">L’élève choisit ou met en œuvre un protocole/une méthode incorrect (e)</w:t>
            </w:r>
            <w:r>
              <w:rPr>
                <w:rFonts w:ascii="Marianne" w:hAnsi="Marianne"/>
                <w:sz w:val="16"/>
                <w:szCs w:val="16"/>
                <w:lang w:eastAsia="fr-FR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</w:tcBorders>
            <w:tcW w:w="972" w:type="pct"/>
            <w:vAlign w:val="center"/>
            <w:vMerge w:val="restart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  <w:t xml:space="preserve">L'élève mobilise quelques capacités et connaissances du programme et exécute une méthode ou un protocole avec une aide.</w:t>
            </w:r>
            <w:r/>
          </w:p>
          <w:p>
            <w:pPr>
              <w:pStyle w:val="697"/>
              <w:rPr>
                <w:rFonts w:ascii="Marianne" w:hAnsi="Marianne" w:cs="Arial"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</w:tcBorders>
            <w:tcW w:w="972" w:type="pct"/>
            <w:vAlign w:val="center"/>
            <w:vMerge w:val="restart"/>
            <w:textDirection w:val="lrTb"/>
            <w:noWrap w:val="false"/>
          </w:tcPr>
          <w:p>
            <w:pPr>
              <w:pStyle w:val="697"/>
              <w:spacing w:line="100" w:lineRule="atLeast"/>
              <w:rPr>
                <w:rFonts w:ascii="Marianne" w:hAnsi="Marianne" w:cs="Arial"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  <w:t xml:space="preserve">L'élève mobilise les capacités et connaissances du programme et exécute une méthode ou un protocole.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right w:val="single" w:color="000000" w:sz="1" w:space="0"/>
            </w:tcBorders>
            <w:tcW w:w="993" w:type="pct"/>
            <w:vAlign w:val="center"/>
            <w:vMerge w:val="restart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  <w:t xml:space="preserve">L'élève mobilise les capacités et connaissances du programme et exécute une méthode ou un protocole, l'explique et le justifie de façon rigoureuse.</w:t>
            </w:r>
            <w:r/>
          </w:p>
        </w:tc>
      </w:tr>
      <w:tr>
        <w:trPr>
          <w:jc w:val="center"/>
          <w:trHeight w:val="979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1" w:space="0"/>
              <w:bottom w:val="single" w:color="auto" w:sz="4" w:space="0"/>
            </w:tcBorders>
            <w:tcW w:w="586" w:type="pct"/>
            <w:textDirection w:val="lrTb"/>
            <w:noWrap w:val="false"/>
          </w:tcPr>
          <w:p>
            <w:pPr>
              <w:pStyle w:val="695"/>
              <w:spacing w:after="0" w:line="240" w:lineRule="auto"/>
              <w:rPr>
                <w:rFonts w:ascii="Marianne" w:hAnsi="Marianne" w:cs="Arial"/>
                <w:i/>
                <w:iCs/>
                <w:color w:val="7030A0"/>
                <w:sz w:val="12"/>
                <w:szCs w:val="12"/>
              </w:rPr>
            </w:pPr>
            <w:r>
              <w:rPr>
                <w:rFonts w:ascii="Marianne" w:hAnsi="Marianne" w:cs="Arial"/>
                <w:i/>
                <w:iCs/>
                <w:color w:val="7030A0"/>
                <w:sz w:val="12"/>
                <w:szCs w:val="12"/>
              </w:rPr>
              <w:t xml:space="preserve">Mettre en œuvre une méthode de résolution, des algorithmes</w:t>
            </w:r>
            <w:r/>
          </w:p>
          <w:p>
            <w:pPr>
              <w:pStyle w:val="695"/>
              <w:spacing w:after="0" w:line="240" w:lineRule="auto"/>
              <w:rPr>
                <w:rFonts w:ascii="Marianne" w:hAnsi="Marianne" w:cs="Arial"/>
                <w:i/>
                <w:iCs/>
                <w:color w:val="7030A0"/>
                <w:sz w:val="12"/>
                <w:szCs w:val="12"/>
              </w:rPr>
            </w:pPr>
            <w:r>
              <w:rPr>
                <w:rFonts w:ascii="Marianne" w:hAnsi="Marianne" w:cs="Arial"/>
                <w:i/>
                <w:iCs/>
                <w:color w:val="7030A0"/>
                <w:sz w:val="12"/>
                <w:szCs w:val="12"/>
              </w:rPr>
              <w:t xml:space="preserve">Utiliser un modèle, représenter, calculer.</w:t>
            </w:r>
            <w:r/>
          </w:p>
          <w:p>
            <w:pPr>
              <w:spacing w:after="0" w:line="240" w:lineRule="auto"/>
              <w:rPr>
                <w:rFonts w:ascii="Marianne" w:hAnsi="Marianne" w:cs="Arial"/>
                <w:b/>
                <w:bCs/>
                <w:color w:val="7030A0"/>
                <w:sz w:val="12"/>
                <w:szCs w:val="12"/>
              </w:rPr>
            </w:pPr>
            <w:r>
              <w:rPr>
                <w:rFonts w:ascii="Marianne" w:hAnsi="Marianne" w:cs="Arial"/>
                <w:i/>
                <w:iCs/>
                <w:color w:val="7030A0"/>
                <w:sz w:val="12"/>
                <w:szCs w:val="12"/>
              </w:rPr>
              <w:t xml:space="preserve">Expérimenter , </w:t>
            </w:r>
            <w:r>
              <w:rPr>
                <w:rFonts w:ascii="Marianne" w:hAnsi="Marianne" w:cs="Arial"/>
                <w:i/>
                <w:iCs/>
                <w:color w:val="7030A0"/>
                <w:sz w:val="12"/>
                <w:szCs w:val="12"/>
              </w:rPr>
              <w:t xml:space="preserve">faire une</w:t>
            </w:r>
            <w:r>
              <w:rPr>
                <w:rFonts w:ascii="Marianne" w:hAnsi="Marianne" w:cs="Arial"/>
                <w:i/>
                <w:iCs/>
                <w:color w:val="7030A0"/>
                <w:sz w:val="12"/>
                <w:szCs w:val="12"/>
              </w:rPr>
              <w:t xml:space="preserve"> simulation.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1" w:space="0"/>
              <w:bottom w:val="single" w:color="auto" w:sz="4" w:space="0"/>
            </w:tcBorders>
            <w:tcW w:w="570" w:type="pct"/>
            <w:textDirection w:val="lrTb"/>
            <w:noWrap w:val="false"/>
          </w:tcPr>
          <w:p>
            <w:pPr>
              <w:pStyle w:val="695"/>
              <w:spacing w:after="0" w:line="240" w:lineRule="auto"/>
              <w:rPr>
                <w:rFonts w:ascii="Marianne" w:hAnsi="Marianne" w:cs="Arial"/>
                <w:i/>
                <w:iCs/>
                <w:color w:val="00B050"/>
                <w:sz w:val="12"/>
                <w:szCs w:val="12"/>
              </w:rPr>
            </w:pPr>
            <w:r>
              <w:rPr>
                <w:rFonts w:ascii="Marianne" w:hAnsi="Marianne" w:cs="Arial"/>
                <w:i/>
                <w:iCs/>
                <w:color w:val="00B050"/>
                <w:sz w:val="12"/>
                <w:szCs w:val="12"/>
              </w:rPr>
              <w:t xml:space="preserve">Mettre en œuvre une méthode de résolution, un protocole expérimental.</w:t>
            </w:r>
            <w:r/>
          </w:p>
          <w:p>
            <w:pPr>
              <w:pStyle w:val="695"/>
              <w:spacing w:after="0" w:line="240" w:lineRule="auto"/>
              <w:rPr>
                <w:rFonts w:ascii="Marianne" w:hAnsi="Marianne" w:cs="Arial"/>
                <w:b/>
                <w:bCs/>
                <w:sz w:val="12"/>
                <w:szCs w:val="12"/>
              </w:rPr>
            </w:pPr>
            <w:r>
              <w:rPr>
                <w:rFonts w:ascii="Marianne" w:hAnsi="Marianne" w:cs="Arial"/>
                <w:i/>
                <w:iCs/>
                <w:color w:val="00B050"/>
                <w:sz w:val="12"/>
                <w:szCs w:val="12"/>
              </w:rPr>
              <w:t xml:space="preserve">Utiliser un modèle, représenter, calculer, effectuer une simulation.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bottom w:val="single" w:color="000000" w:sz="1" w:space="0"/>
            </w:tcBorders>
            <w:tcW w:w="907" w:type="pct"/>
            <w:vAlign w:val="center"/>
            <w:vMerge w:val="continue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bottom w:val="single" w:color="000000" w:sz="1" w:space="0"/>
            </w:tcBorders>
            <w:tcW w:w="972" w:type="pct"/>
            <w:vAlign w:val="center"/>
            <w:vMerge w:val="continue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bottom w:val="single" w:color="000000" w:sz="1" w:space="0"/>
            </w:tcBorders>
            <w:tcW w:w="972" w:type="pct"/>
            <w:vAlign w:val="center"/>
            <w:vMerge w:val="continue"/>
            <w:textDirection w:val="lrTb"/>
            <w:noWrap w:val="false"/>
          </w:tcPr>
          <w:p>
            <w:pPr>
              <w:pStyle w:val="697"/>
              <w:spacing w:line="100" w:lineRule="atLeast"/>
              <w:rPr>
                <w:rFonts w:ascii="Marianne" w:hAnsi="Marianne" w:cs="Arial"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993" w:type="pct"/>
            <w:vAlign w:val="center"/>
            <w:vMerge w:val="continue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</w:r>
            <w:r/>
          </w:p>
        </w:tc>
      </w:tr>
      <w:tr>
        <w:trPr>
          <w:jc w:val="center"/>
          <w:trHeight w:val="345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000000" w:sz="1" w:space="0"/>
              <w:bottom w:val="single" w:color="auto" w:sz="4" w:space="0"/>
            </w:tcBorders>
            <w:tcW w:w="11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VALIDER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</w:tcBorders>
            <w:tcW w:w="907" w:type="pct"/>
            <w:vAlign w:val="center"/>
            <w:vMerge w:val="restart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  <w:t xml:space="preserve">L'élève donne les résultats obtenus.</w:t>
            </w:r>
            <w:r>
              <w:rPr>
                <w:rFonts w:ascii="Marianne" w:hAnsi="Marianne"/>
                <w:sz w:val="16"/>
                <w:szCs w:val="16"/>
                <w:lang w:eastAsia="fr-FR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</w:tcBorders>
            <w:tcW w:w="972" w:type="pct"/>
            <w:vAlign w:val="center"/>
            <w:vMerge w:val="restart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  <w:t xml:space="preserve">L'élève contrôle la cohérence des résultats obtenus et les exploite avec aide</w:t>
            </w:r>
            <w:r>
              <w:rPr>
                <w:rFonts w:ascii="Calibri" w:hAnsi="Calibri" w:cs="Calibri"/>
                <w:color w:val="0070C0"/>
                <w:sz w:val="16"/>
                <w:szCs w:val="16"/>
              </w:rPr>
              <w:t xml:space="preserve"> </w:t>
            </w:r>
            <w:r>
              <w:rPr>
                <w:rFonts w:ascii="Marianne" w:hAnsi="Marianne" w:cs="Arial"/>
                <w:color w:val="0070C0"/>
                <w:sz w:val="16"/>
                <w:szCs w:val="16"/>
              </w:rPr>
              <w:t xml:space="preserve">: il tire profit des indications apportées.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</w:tcBorders>
            <w:tcW w:w="972" w:type="pct"/>
            <w:vAlign w:val="center"/>
            <w:vMerge w:val="restart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  <w:t xml:space="preserve">L'élève contrôle la cohérence des résultats obtenus et les exploite pour valider ou infirmer son hypothèse de départ.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right w:val="single" w:color="000000" w:sz="1" w:space="0"/>
            </w:tcBorders>
            <w:tcW w:w="993" w:type="pct"/>
            <w:vAlign w:val="center"/>
            <w:vMerge w:val="restart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  <w:t xml:space="preserve">L'élève interprète les résultats obtenus et tire une conclusion en faisant preuve d’esprit critique.</w:t>
            </w:r>
            <w:r/>
          </w:p>
          <w:p>
            <w:pPr>
              <w:pStyle w:val="697"/>
              <w:rPr>
                <w:rFonts w:ascii="Marianne" w:hAnsi="Marianne" w:cs="Arial"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  <w:t xml:space="preserve">Il argumente ses choix.</w:t>
            </w:r>
            <w:r/>
          </w:p>
        </w:tc>
      </w:tr>
      <w:tr>
        <w:trPr>
          <w:jc w:val="center"/>
          <w:trHeight w:val="611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W w:w="586" w:type="pct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i/>
                <w:color w:val="7030A0"/>
                <w:sz w:val="12"/>
                <w:szCs w:val="12"/>
              </w:rPr>
            </w:pPr>
            <w:r>
              <w:rPr>
                <w:rFonts w:ascii="Marianne" w:hAnsi="Marianne" w:cs="Arial"/>
                <w:i/>
                <w:color w:val="7030A0"/>
                <w:sz w:val="12"/>
                <w:szCs w:val="12"/>
              </w:rPr>
              <w:t xml:space="preserve">Critiquer un résultat, argumenter.</w:t>
            </w:r>
            <w:r/>
          </w:p>
          <w:p>
            <w:pPr>
              <w:pStyle w:val="697"/>
              <w:rPr>
                <w:rFonts w:ascii="Marianne" w:hAnsi="Marianne" w:cs="Arial"/>
                <w:i/>
                <w:color w:val="7030A0"/>
                <w:sz w:val="12"/>
                <w:szCs w:val="12"/>
              </w:rPr>
            </w:pPr>
            <w:r>
              <w:rPr>
                <w:rFonts w:ascii="Marianne" w:hAnsi="Marianne" w:cs="Arial"/>
                <w:i/>
                <w:color w:val="7030A0"/>
                <w:sz w:val="12"/>
                <w:szCs w:val="12"/>
              </w:rPr>
              <w:t xml:space="preserve">Contrôler la vraisemblance d’une conjecture.</w:t>
            </w:r>
            <w:r/>
          </w:p>
          <w:p>
            <w:pPr>
              <w:pStyle w:val="697"/>
              <w:rPr>
                <w:rFonts w:ascii="Marianne" w:hAnsi="Marianne" w:cs="Arial"/>
                <w:b/>
                <w:bCs/>
                <w:i/>
                <w:sz w:val="12"/>
                <w:szCs w:val="12"/>
              </w:rPr>
            </w:pPr>
            <w:r>
              <w:rPr>
                <w:rFonts w:ascii="Marianne" w:hAnsi="Marianne" w:cs="Arial"/>
                <w:i/>
                <w:color w:val="7030A0"/>
                <w:sz w:val="12"/>
                <w:szCs w:val="12"/>
              </w:rPr>
              <w:t xml:space="preserve">Mener un raisonnement logique et établir une conclusion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W w:w="570" w:type="pct"/>
            <w:textDirection w:val="lrTb"/>
            <w:noWrap w:val="false"/>
          </w:tcPr>
          <w:p>
            <w:pPr>
              <w:pStyle w:val="695"/>
              <w:spacing w:after="0" w:line="240" w:lineRule="auto"/>
              <w:rPr>
                <w:rFonts w:ascii="Marianne" w:hAnsi="Marianne" w:cs="Arial"/>
                <w:i/>
                <w:iCs/>
                <w:color w:val="00B050"/>
                <w:sz w:val="12"/>
                <w:szCs w:val="12"/>
              </w:rPr>
            </w:pPr>
            <w:r>
              <w:rPr>
                <w:rFonts w:ascii="Marianne" w:hAnsi="Marianne" w:cs="Arial"/>
                <w:i/>
                <w:iCs/>
                <w:color w:val="00B050"/>
                <w:sz w:val="12"/>
                <w:szCs w:val="12"/>
              </w:rPr>
              <w:t xml:space="preserve">Commenter un résultat, argumenter.</w:t>
            </w:r>
            <w:r/>
          </w:p>
          <w:p>
            <w:pPr>
              <w:pStyle w:val="695"/>
              <w:spacing w:after="0" w:line="240" w:lineRule="auto"/>
              <w:rPr>
                <w:rFonts w:ascii="Marianne" w:hAnsi="Marianne" w:cs="Arial"/>
                <w:i/>
                <w:iCs/>
                <w:color w:val="00B050"/>
                <w:sz w:val="12"/>
                <w:szCs w:val="12"/>
              </w:rPr>
            </w:pPr>
            <w:r>
              <w:rPr>
                <w:rFonts w:ascii="Marianne" w:hAnsi="Marianne" w:cs="Arial"/>
                <w:i/>
                <w:iCs/>
                <w:color w:val="00B050"/>
                <w:sz w:val="12"/>
                <w:szCs w:val="12"/>
              </w:rPr>
              <w:t xml:space="preserve">Contrôler la vraisemblance d’une hypothèse, de la valeur d’une mesure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1" w:space="0"/>
            </w:tcBorders>
            <w:tcW w:w="907" w:type="pct"/>
            <w:vAlign w:val="center"/>
            <w:vMerge w:val="continue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bottom w:val="single" w:color="000000" w:sz="1" w:space="0"/>
            </w:tcBorders>
            <w:tcW w:w="972" w:type="pct"/>
            <w:vAlign w:val="center"/>
            <w:vMerge w:val="continue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bottom w:val="single" w:color="000000" w:sz="1" w:space="0"/>
            </w:tcBorders>
            <w:tcW w:w="972" w:type="pct"/>
            <w:vAlign w:val="center"/>
            <w:vMerge w:val="continue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993" w:type="pct"/>
            <w:vAlign w:val="center"/>
            <w:vMerge w:val="continue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</w:r>
            <w:r/>
          </w:p>
        </w:tc>
      </w:tr>
      <w:tr>
        <w:trPr>
          <w:jc w:val="center"/>
          <w:trHeight w:val="199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000000" w:sz="1" w:space="0"/>
              <w:bottom w:val="single" w:color="auto" w:sz="4" w:space="0"/>
            </w:tcBorders>
            <w:tcW w:w="11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COMMUNIQUER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</w:tcBorders>
            <w:tcW w:w="907" w:type="pct"/>
            <w:vAlign w:val="center"/>
            <w:vMerge w:val="restart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  <w:t xml:space="preserve">L'élève propose des éléments de réponse pour rendre compte à l’oral ou à l’écrit, d’une partie de sa démarche avec aide.</w:t>
            </w:r>
            <w:r>
              <w:rPr>
                <w:rFonts w:ascii="Marianne" w:hAnsi="Marianne"/>
                <w:sz w:val="16"/>
                <w:szCs w:val="16"/>
                <w:lang w:eastAsia="fr-FR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</w:tcBorders>
            <w:tcW w:w="972" w:type="pct"/>
            <w:vAlign w:val="center"/>
            <w:vMerge w:val="restart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  <w:t xml:space="preserve">L’élève rend compte, à l’oral ou à l’écrit, sa démarche de résolution avec aide.</w:t>
            </w:r>
            <w:r>
              <w:rPr>
                <w:rFonts w:ascii="Marianne" w:hAnsi="Marianne" w:cs="Arial"/>
                <w:sz w:val="16"/>
                <w:szCs w:val="16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</w:tcBorders>
            <w:tcW w:w="972" w:type="pct"/>
            <w:vAlign w:val="center"/>
            <w:vMerge w:val="restart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  <w:t xml:space="preserve">L’élève rend compte, à l’oral et à l’écrit, sa démarche de résolution.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right w:val="single" w:color="000000" w:sz="1" w:space="0"/>
            </w:tcBorders>
            <w:tcW w:w="993" w:type="pct"/>
            <w:vAlign w:val="center"/>
            <w:vMerge w:val="restart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color w:val="0070C0"/>
                <w:sz w:val="16"/>
                <w:szCs w:val="16"/>
              </w:rPr>
              <w:t xml:space="preserve">L’élève explicite les étapes de sa démarche de résolution par une production orale ou écrite en utilisant le vocabulaire scientifique adapté.</w:t>
            </w:r>
            <w:r/>
          </w:p>
        </w:tc>
      </w:tr>
      <w:tr>
        <w:trPr>
          <w:jc w:val="center"/>
          <w:trHeight w:val="485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000000" w:sz="1" w:space="0"/>
              <w:bottom w:val="single" w:color="auto" w:sz="4" w:space="0"/>
            </w:tcBorders>
            <w:tcW w:w="115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Marianne" w:hAnsi="Marianne" w:cs="Arial"/>
                <w:i/>
                <w:sz w:val="12"/>
                <w:szCs w:val="12"/>
              </w:rPr>
            </w:pPr>
            <w:r>
              <w:rPr>
                <w:rFonts w:ascii="Marianne" w:hAnsi="Marianne" w:cs="Arial"/>
                <w:i/>
                <w:sz w:val="12"/>
                <w:szCs w:val="12"/>
              </w:rPr>
              <w:t xml:space="preserve">Rendre compte d’une démarche, d’un résultat, à l’oral ou à l’écrit, à l’aide d’outils et d’un langage approprié.</w:t>
            </w:r>
            <w:r/>
          </w:p>
          <w:p>
            <w:pPr>
              <w:spacing w:after="0" w:line="240" w:lineRule="auto"/>
              <w:rPr>
                <w:rFonts w:ascii="Marianne" w:hAnsi="Marianne" w:cs="Arial"/>
                <w:b/>
                <w:bCs/>
                <w:i/>
                <w:sz w:val="12"/>
                <w:szCs w:val="12"/>
              </w:rPr>
            </w:pPr>
            <w:r>
              <w:rPr>
                <w:rFonts w:ascii="Marianne" w:hAnsi="Marianne" w:cs="Arial"/>
                <w:i/>
                <w:sz w:val="12"/>
                <w:szCs w:val="12"/>
              </w:rPr>
              <w:t xml:space="preserve">Expliquer une démarche.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bottom w:val="single" w:color="000000" w:sz="1" w:space="0"/>
            </w:tcBorders>
            <w:tcW w:w="907" w:type="pct"/>
            <w:vMerge w:val="continue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i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i/>
                <w:color w:val="0070C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bottom w:val="single" w:color="000000" w:sz="1" w:space="0"/>
            </w:tcBorders>
            <w:tcW w:w="972" w:type="pct"/>
            <w:vMerge w:val="continue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i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i/>
                <w:color w:val="0070C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bottom w:val="single" w:color="000000" w:sz="1" w:space="0"/>
            </w:tcBorders>
            <w:tcW w:w="972" w:type="pct"/>
            <w:vMerge w:val="continue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i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i/>
                <w:color w:val="0070C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993" w:type="pct"/>
            <w:vMerge w:val="continue"/>
            <w:textDirection w:val="lrTb"/>
            <w:noWrap w:val="false"/>
          </w:tcPr>
          <w:p>
            <w:pPr>
              <w:pStyle w:val="697"/>
              <w:rPr>
                <w:rFonts w:ascii="Marianne" w:hAnsi="Marianne" w:cs="Arial"/>
                <w:i/>
                <w:color w:val="0070C0"/>
                <w:sz w:val="16"/>
                <w:szCs w:val="16"/>
              </w:rPr>
            </w:pPr>
            <w:r>
              <w:rPr>
                <w:rFonts w:ascii="Marianne" w:hAnsi="Marianne" w:cs="Arial"/>
                <w:i/>
                <w:color w:val="0070C0"/>
                <w:sz w:val="16"/>
                <w:szCs w:val="16"/>
              </w:rPr>
            </w:r>
            <w:r/>
          </w:p>
        </w:tc>
      </w:tr>
    </w:tbl>
    <w:p>
      <w:r/>
      <w:r/>
    </w:p>
    <w:sectPr>
      <w:footerReference w:type="default" r:id="rId9"/>
      <w:footnotePr/>
      <w:endnotePr/>
      <w:type w:val="nextPage"/>
      <w:pgSz w:w="11906" w:h="16838" w:orient="portrait"/>
      <w:pgMar w:top="851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arianne">
    <w:panose1 w:val="02000000000000000000"/>
  </w:font>
  <w:font w:name="Wingdings">
    <w:panose1 w:val="05010000000000000000"/>
  </w:font>
  <w:font w:name="Symbol">
    <w:panose1 w:val="05010000000000000000"/>
  </w:font>
  <w:font w:name="SimSun">
    <w:panose1 w:val="02020603020101020101"/>
  </w:font>
  <w:font w:name="Courier New">
    <w:panose1 w:val="02070409020205020404"/>
  </w:font>
  <w:font w:name="Mangal">
    <w:panose1 w:val="02020603050405020304"/>
  </w:font>
  <w:font w:name="Liberation Serif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Theme="majorHAnsi" w:hAnsiTheme="majorHAnsi" w:eastAsiaTheme="majorEastAsia" w:cstheme="majorBidi"/>
      </w:rPr>
    </w:pPr>
    <w:r>
      <w:rPr>
        <w:rFonts w:asciiTheme="majorHAnsi" w:hAnsiTheme="majorHAnsi" w:eastAsiaTheme="majorEastAsia" w:cstheme="majorBidi"/>
      </w:rPr>
    </w:r>
    <w:r/>
  </w:p>
  <w:p>
    <w:pPr>
      <w:pStyle w:val="698"/>
    </w:pPr>
    <w:r>
      <w:rPr>
        <w:rFonts w:asciiTheme="majorHAnsi" w:hAnsiTheme="majorHAnsi" w:eastAsiaTheme="majorEastAsia" w:cstheme="majorBidi"/>
        <w:lang w:eastAsia="fr-FR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posOffset>383098</wp:posOffset>
              </wp:positionV>
              <wp:extent cx="405517" cy="421419"/>
              <wp:effectExtent l="0" t="0" r="0" b="0"/>
              <wp:wrapNone/>
              <wp:docPr id="1" name="Ellipse 3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5517" cy="421419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98"/>
                            <w:jc w:val="center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1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3" style="position:absolute;mso-wrap-distance-left:9.0pt;mso-wrap-distance-top:0.0pt;mso-wrap-distance-right:9.0pt;mso-wrap-distance-bottom:0.0pt;z-index:251659264;o:allowoverlap:true;o:allowincell:true;mso-position-horizontal-relative:margin;mso-position-horizontal:center;mso-position-vertical-relative:bottom-margin-area;margin-top:30.2pt;mso-position-vertical:absolute;width:31.9pt;height:33.2pt;v-text-anchor:middle;" coordsize="100000,100000" path="" fillcolor="#40618B" stroked="f">
              <v:path textboxrect="0,0,0,0"/>
              <v:textbox>
                <w:txbxContent>
                  <w:p>
                    <w:pPr>
                      <w:pStyle w:val="698"/>
                      <w:jc w:val="center"/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 xml:space="preserve">PAGE    \* MERGEFORMAT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1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700"/>
      </w:pPr>
      <w:r>
        <w:rPr>
          <w:rStyle w:val="702"/>
        </w:rPr>
        <w:footnoteRef/>
      </w:r>
      <w:r>
        <w:t xml:space="preserve"> Les capacités indiquées sont celles du LSL</w:t>
      </w:r>
      <w:r>
        <w:t xml:space="preserve"> Pro - Arrêté du 17-6-2020 - J.O. du 5-7-2020 publié au </w:t>
      </w:r>
      <w:hyperlink r:id="rId1" w:tooltip="https://www.education.gouv.fr/bo/20/Hebdo28/MENE2012530A.htm" w:history="1">
        <w:r>
          <w:rPr>
            <w:rStyle w:val="704"/>
          </w:rPr>
          <w:t xml:space="preserve">BOEN n°28 du 10 Juillet 2020</w:t>
        </w:r>
      </w:hyperlink>
      <w:r>
        <w:t xml:space="preserve"> - Annexe 1 : </w:t>
      </w:r>
      <w:hyperlink r:id="rId2" w:tooltip="https://cache.media.education.gouv.fr/file/28/61/2/ensel530_annexe1_1305612.pdf" w:history="1">
        <w:r>
          <w:rPr>
            <w:rStyle w:val="704"/>
          </w:rPr>
          <w:t xml:space="preserve">Livret scolaire pour l’examen du baccalauréat professionnel</w:t>
        </w:r>
      </w:hyperlink>
      <w:r>
        <w:t xml:space="preserve"> : classe de première et de terminale.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91"/>
    <w:next w:val="691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92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91"/>
    <w:next w:val="691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92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91"/>
    <w:next w:val="691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92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91"/>
    <w:next w:val="691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9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91"/>
    <w:next w:val="691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9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91"/>
    <w:next w:val="691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9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91"/>
    <w:next w:val="691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9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91"/>
    <w:next w:val="691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9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91"/>
    <w:next w:val="691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9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91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91"/>
    <w:next w:val="691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92"/>
    <w:link w:val="32"/>
    <w:uiPriority w:val="10"/>
    <w:rPr>
      <w:sz w:val="48"/>
      <w:szCs w:val="48"/>
    </w:rPr>
  </w:style>
  <w:style w:type="paragraph" w:styleId="34">
    <w:name w:val="Subtitle"/>
    <w:basedOn w:val="691"/>
    <w:next w:val="691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92"/>
    <w:link w:val="34"/>
    <w:uiPriority w:val="11"/>
    <w:rPr>
      <w:sz w:val="24"/>
      <w:szCs w:val="24"/>
    </w:rPr>
  </w:style>
  <w:style w:type="paragraph" w:styleId="36">
    <w:name w:val="Quote"/>
    <w:basedOn w:val="691"/>
    <w:next w:val="691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91"/>
    <w:next w:val="691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91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92"/>
    <w:link w:val="40"/>
    <w:uiPriority w:val="99"/>
  </w:style>
  <w:style w:type="character" w:styleId="43">
    <w:name w:val="Footer Char"/>
    <w:basedOn w:val="692"/>
    <w:link w:val="698"/>
    <w:uiPriority w:val="99"/>
  </w:style>
  <w:style w:type="paragraph" w:styleId="44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98"/>
    <w:uiPriority w:val="99"/>
  </w:style>
  <w:style w:type="table" w:styleId="46">
    <w:name w:val="Table Grid"/>
    <w:basedOn w:val="69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Footnote Text Char"/>
    <w:link w:val="700"/>
    <w:uiPriority w:val="99"/>
    <w:rPr>
      <w:sz w:val="18"/>
    </w:rPr>
  </w:style>
  <w:style w:type="paragraph" w:styleId="176">
    <w:name w:val="endnote text"/>
    <w:basedOn w:val="691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92"/>
    <w:uiPriority w:val="99"/>
    <w:semiHidden/>
    <w:unhideWhenUsed/>
    <w:rPr>
      <w:vertAlign w:val="superscript"/>
    </w:rPr>
  </w:style>
  <w:style w:type="paragraph" w:styleId="179">
    <w:name w:val="toc 1"/>
    <w:basedOn w:val="691"/>
    <w:next w:val="69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91"/>
    <w:next w:val="69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91"/>
    <w:next w:val="69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91"/>
    <w:next w:val="69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91"/>
    <w:next w:val="69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91"/>
    <w:next w:val="69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91"/>
    <w:next w:val="69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91"/>
    <w:next w:val="69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91"/>
    <w:next w:val="69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91"/>
    <w:next w:val="691"/>
    <w:uiPriority w:val="99"/>
    <w:unhideWhenUsed/>
    <w:pPr>
      <w:spacing w:after="0" w:afterAutospacing="0"/>
    </w:pPr>
  </w:style>
  <w:style w:type="paragraph" w:styleId="691" w:default="1">
    <w:name w:val="Normal"/>
    <w:qFormat/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paragraph" w:styleId="695">
    <w:name w:val="Body Text"/>
    <w:basedOn w:val="691"/>
    <w:link w:val="696"/>
    <w:pPr>
      <w:spacing w:after="140" w:line="288" w:lineRule="auto"/>
      <w:widowControl w:val="off"/>
    </w:pPr>
    <w:rPr>
      <w:rFonts w:ascii="Liberation Serif" w:hAnsi="Liberation Serif" w:cs="Mangal" w:eastAsia="SimSun"/>
      <w:sz w:val="24"/>
      <w:szCs w:val="24"/>
      <w:lang w:bidi="hi-IN" w:eastAsia="hi-IN"/>
    </w:rPr>
  </w:style>
  <w:style w:type="character" w:styleId="696" w:customStyle="1">
    <w:name w:val="Corps de texte Car"/>
    <w:basedOn w:val="692"/>
    <w:link w:val="695"/>
    <w:rPr>
      <w:rFonts w:ascii="Liberation Serif" w:hAnsi="Liberation Serif" w:cs="Mangal" w:eastAsia="SimSun"/>
      <w:sz w:val="24"/>
      <w:szCs w:val="24"/>
      <w:lang w:bidi="hi-IN" w:eastAsia="hi-IN"/>
    </w:rPr>
  </w:style>
  <w:style w:type="paragraph" w:styleId="697" w:customStyle="1">
    <w:name w:val="Contenu de tableau"/>
    <w:basedOn w:val="691"/>
    <w:pPr>
      <w:spacing w:after="0" w:line="240" w:lineRule="auto"/>
      <w:widowControl w:val="off"/>
      <w:suppressLineNumbers/>
    </w:pPr>
    <w:rPr>
      <w:rFonts w:ascii="Liberation Serif" w:hAnsi="Liberation Serif" w:cs="Mangal" w:eastAsia="SimSun"/>
      <w:sz w:val="24"/>
      <w:szCs w:val="24"/>
      <w:lang w:bidi="hi-IN" w:eastAsia="hi-IN"/>
    </w:rPr>
  </w:style>
  <w:style w:type="paragraph" w:styleId="698">
    <w:name w:val="Footer"/>
    <w:basedOn w:val="691"/>
    <w:link w:val="699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699" w:customStyle="1">
    <w:name w:val="Pied de page Car"/>
    <w:basedOn w:val="692"/>
    <w:link w:val="698"/>
    <w:uiPriority w:val="99"/>
  </w:style>
  <w:style w:type="paragraph" w:styleId="700">
    <w:name w:val="footnote text"/>
    <w:basedOn w:val="691"/>
    <w:link w:val="70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1" w:customStyle="1">
    <w:name w:val="Note de bas de page Car"/>
    <w:basedOn w:val="692"/>
    <w:link w:val="700"/>
    <w:uiPriority w:val="99"/>
    <w:semiHidden/>
    <w:rPr>
      <w:sz w:val="20"/>
      <w:szCs w:val="20"/>
    </w:rPr>
  </w:style>
  <w:style w:type="character" w:styleId="702">
    <w:name w:val="footnote reference"/>
    <w:basedOn w:val="692"/>
    <w:uiPriority w:val="99"/>
    <w:semiHidden/>
    <w:unhideWhenUsed/>
    <w:rPr>
      <w:vertAlign w:val="superscript"/>
    </w:rPr>
  </w:style>
  <w:style w:type="character" w:styleId="703" w:customStyle="1">
    <w:name w:val="ressource"/>
    <w:basedOn w:val="692"/>
  </w:style>
  <w:style w:type="character" w:styleId="704">
    <w:name w:val="Hyperlink"/>
    <w:basedOn w:val="692"/>
    <w:uiPriority w:val="99"/>
    <w:unhideWhenUsed/>
    <w:rPr>
      <w:color w:val="0000FF"/>
      <w:u w:val="single"/>
    </w:rPr>
  </w:style>
  <w:style w:type="character" w:styleId="705">
    <w:name w:val="FollowedHyperlink"/>
    <w:basedOn w:val="692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education.gouv.fr/bo/20/Hebdo28/MENE2012530A.htm" TargetMode="External"/><Relationship Id="rId2" Type="http://schemas.openxmlformats.org/officeDocument/2006/relationships/hyperlink" Target="https://cache.media.education.gouv.fr/file/28/61/2/ensel530_annexe1_1305612.pdf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A3CAD638-CD48-4717-886E-BB71BB3C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LAFAYE</dc:creator>
  <cp:keywords/>
  <dc:description/>
  <cp:lastModifiedBy>Charly.Orsonneau@ac-nantes.fr</cp:lastModifiedBy>
  <cp:revision>3</cp:revision>
  <dcterms:created xsi:type="dcterms:W3CDTF">2022-10-03T07:02:00Z</dcterms:created>
  <dcterms:modified xsi:type="dcterms:W3CDTF">2023-01-17T10:13:49Z</dcterms:modified>
</cp:coreProperties>
</file>