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D6" w:rsidRPr="00CC483A" w:rsidRDefault="00A83ED6" w:rsidP="00A83ED6">
      <w:pPr>
        <w:spacing w:after="0" w:line="240" w:lineRule="auto"/>
        <w:jc w:val="both"/>
        <w:rPr>
          <w:rFonts w:cstheme="minorHAnsi"/>
          <w:b/>
          <w:u w:val="single"/>
        </w:rPr>
      </w:pPr>
      <w:bookmarkStart w:id="0" w:name="Annexe5b_ComparaisonCompositions"/>
      <w:r w:rsidRPr="00CC483A">
        <w:rPr>
          <w:rFonts w:cstheme="minorHAnsi"/>
          <w:b/>
          <w:u w:val="single"/>
        </w:rPr>
        <w:t>5 b- Dégager des points de comparaison dans la composition des deux tentures</w:t>
      </w:r>
    </w:p>
    <w:bookmarkEnd w:id="0"/>
    <w:p w:rsidR="00A83ED6" w:rsidRPr="00CC483A" w:rsidRDefault="00A83ED6" w:rsidP="00A83ED6">
      <w:pPr>
        <w:spacing w:after="0" w:line="240" w:lineRule="auto"/>
        <w:jc w:val="both"/>
        <w:rPr>
          <w:rFonts w:cstheme="minorHAnsi"/>
          <w:b/>
        </w:rPr>
      </w:pPr>
      <w:r w:rsidRPr="00CC483A">
        <w:rPr>
          <w:rFonts w:cstheme="minorHAnsi"/>
          <w:b/>
        </w:rPr>
        <w:t xml:space="preserve">        La composition de la tenture de </w:t>
      </w:r>
      <w:r w:rsidRPr="00CC483A">
        <w:rPr>
          <w:rFonts w:cstheme="minorHAnsi"/>
          <w:b/>
          <w:i/>
        </w:rPr>
        <w:t>L’Apocalypse</w:t>
      </w:r>
      <w:r w:rsidRPr="00CC483A">
        <w:rPr>
          <w:rFonts w:cstheme="minorHAnsi"/>
          <w:b/>
        </w:rPr>
        <w:t>, au château d’Angers</w:t>
      </w:r>
    </w:p>
    <w:p w:rsidR="00245DA7" w:rsidRDefault="00245DA7"/>
    <w:p w:rsidR="00A83ED6" w:rsidRDefault="00A83ED6"/>
    <w:p w:rsidR="00BD1E17" w:rsidRDefault="00A83ED6">
      <w:r w:rsidRPr="00CC483A">
        <w:rPr>
          <w:rFonts w:cstheme="minorHAnsi"/>
          <w:noProof/>
        </w:rPr>
        <w:drawing>
          <wp:inline distT="0" distB="0" distL="0" distR="0" wp14:anchorId="47D49167" wp14:editId="40DAFA27">
            <wp:extent cx="5760720" cy="3991288"/>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srcRect l="6539" t="18740" r="6220" b="5704"/>
                    <a:stretch/>
                  </pic:blipFill>
                  <pic:spPr bwMode="auto">
                    <a:xfrm>
                      <a:off x="0" y="0"/>
                      <a:ext cx="5760720" cy="3991288"/>
                    </a:xfrm>
                    <a:prstGeom prst="rect">
                      <a:avLst/>
                    </a:prstGeom>
                    <a:ln>
                      <a:noFill/>
                    </a:ln>
                    <a:extLst>
                      <a:ext uri="{53640926-AAD7-44D8-BBD7-CCE9431645EC}">
                        <a14:shadowObscured xmlns:a14="http://schemas.microsoft.com/office/drawing/2010/main"/>
                      </a:ext>
                    </a:extLst>
                  </pic:spPr>
                </pic:pic>
              </a:graphicData>
            </a:graphic>
          </wp:inline>
        </w:drawing>
      </w:r>
    </w:p>
    <w:p w:rsidR="00BD1E17" w:rsidRDefault="00BD1E17"/>
    <w:p w:rsidR="00BD1E17" w:rsidRDefault="00BD1E17">
      <w:bookmarkStart w:id="1" w:name="_GoBack"/>
      <w:bookmarkEnd w:id="1"/>
    </w:p>
    <w:p w:rsidR="00BD1E17" w:rsidRPr="00CC483A" w:rsidRDefault="00BD1E17" w:rsidP="00BD1E17">
      <w:pPr>
        <w:pBdr>
          <w:top w:val="single" w:sz="4" w:space="1" w:color="auto"/>
          <w:left w:val="single" w:sz="4" w:space="1" w:color="auto"/>
          <w:bottom w:val="single" w:sz="4" w:space="1" w:color="auto"/>
          <w:right w:val="single" w:sz="4" w:space="1" w:color="auto"/>
        </w:pBdr>
        <w:rPr>
          <w:rFonts w:eastAsia="Times New Roman" w:cstheme="minorHAnsi"/>
          <w:b/>
          <w:sz w:val="20"/>
          <w:szCs w:val="20"/>
        </w:rPr>
      </w:pPr>
      <w:r w:rsidRPr="00CC483A">
        <w:rPr>
          <w:rFonts w:cstheme="minorHAnsi"/>
          <w:b/>
        </w:rPr>
        <w:t>Quelques éléments à dégager dans la confrontation des deux tentures </w:t>
      </w:r>
      <w:r w:rsidRPr="00CC483A">
        <w:rPr>
          <w:rFonts w:eastAsia="Times New Roman" w:cstheme="minorHAnsi"/>
          <w:b/>
          <w:sz w:val="20"/>
          <w:szCs w:val="20"/>
        </w:rPr>
        <w:t xml:space="preserve"> </w:t>
      </w:r>
    </w:p>
    <w:p w:rsidR="00BD1E17" w:rsidRPr="00CC483A" w:rsidRDefault="00BD1E17" w:rsidP="00BD1E17">
      <w:pPr>
        <w:pBdr>
          <w:top w:val="single" w:sz="4" w:space="1" w:color="auto"/>
          <w:left w:val="single" w:sz="4" w:space="1" w:color="auto"/>
          <w:bottom w:val="single" w:sz="4" w:space="1" w:color="auto"/>
          <w:right w:val="single" w:sz="4" w:space="1" w:color="auto"/>
        </w:pBdr>
        <w:rPr>
          <w:rFonts w:eastAsia="Times New Roman" w:cstheme="minorHAnsi"/>
          <w:b/>
          <w:sz w:val="20"/>
          <w:szCs w:val="20"/>
        </w:rPr>
      </w:pPr>
      <w:r w:rsidRPr="00CC483A">
        <w:rPr>
          <w:rFonts w:eastAsia="Times New Roman" w:cstheme="minorHAnsi"/>
          <w:b/>
          <w:sz w:val="20"/>
          <w:szCs w:val="20"/>
        </w:rPr>
        <w:t>Les points communs</w:t>
      </w:r>
      <w:r w:rsidRPr="00CC483A">
        <w:rPr>
          <w:rFonts w:eastAsia="Times New Roman" w:cstheme="minorHAnsi"/>
          <w:b/>
          <w:sz w:val="20"/>
          <w:szCs w:val="20"/>
        </w:rPr>
        <w:br/>
      </w:r>
      <w:r w:rsidRPr="00CC483A">
        <w:rPr>
          <w:rFonts w:eastAsia="Times New Roman" w:cstheme="minorHAnsi"/>
          <w:sz w:val="20"/>
          <w:szCs w:val="20"/>
        </w:rPr>
        <w:t>- Même grand personnage dans la 1</w:t>
      </w:r>
      <w:r w:rsidRPr="00CC483A">
        <w:rPr>
          <w:rFonts w:eastAsia="Times New Roman" w:cstheme="minorHAnsi"/>
          <w:sz w:val="20"/>
          <w:szCs w:val="20"/>
          <w:vertAlign w:val="superscript"/>
        </w:rPr>
        <w:t>ère</w:t>
      </w:r>
      <w:r w:rsidRPr="00CC483A">
        <w:rPr>
          <w:rFonts w:eastAsia="Times New Roman" w:cstheme="minorHAnsi"/>
          <w:sz w:val="20"/>
          <w:szCs w:val="20"/>
        </w:rPr>
        <w:t xml:space="preserve"> partie, dans un cadre</w:t>
      </w:r>
      <w:r w:rsidRPr="00CC483A">
        <w:rPr>
          <w:rFonts w:eastAsia="Times New Roman" w:cstheme="minorHAnsi"/>
          <w:b/>
          <w:sz w:val="20"/>
          <w:szCs w:val="20"/>
        </w:rPr>
        <w:br/>
      </w:r>
      <w:r w:rsidRPr="00CC483A">
        <w:rPr>
          <w:rFonts w:eastAsia="Times New Roman" w:cstheme="minorHAnsi"/>
          <w:sz w:val="20"/>
          <w:szCs w:val="20"/>
        </w:rPr>
        <w:t>- Même compartimentage des scènes</w:t>
      </w:r>
      <w:r w:rsidRPr="00CC483A">
        <w:rPr>
          <w:rFonts w:eastAsia="Times New Roman" w:cstheme="minorHAnsi"/>
          <w:b/>
          <w:sz w:val="20"/>
          <w:szCs w:val="20"/>
        </w:rPr>
        <w:br/>
      </w:r>
      <w:r w:rsidRPr="00CC483A">
        <w:rPr>
          <w:rFonts w:eastAsia="Times New Roman" w:cstheme="minorHAnsi"/>
          <w:sz w:val="20"/>
          <w:szCs w:val="20"/>
        </w:rPr>
        <w:t>- Même jeu de répétition de motifs</w:t>
      </w:r>
    </w:p>
    <w:p w:rsidR="00BD1E17" w:rsidRPr="00CC483A" w:rsidRDefault="00BD1E17" w:rsidP="00BD1E17">
      <w:pPr>
        <w:pBdr>
          <w:top w:val="single" w:sz="4" w:space="1" w:color="auto"/>
          <w:left w:val="single" w:sz="4" w:space="1" w:color="auto"/>
          <w:bottom w:val="single" w:sz="4" w:space="1" w:color="auto"/>
          <w:right w:val="single" w:sz="4" w:space="1" w:color="auto"/>
        </w:pBdr>
        <w:spacing w:after="0" w:line="240" w:lineRule="auto"/>
        <w:rPr>
          <w:rFonts w:eastAsia="Times New Roman" w:cstheme="minorHAnsi"/>
          <w:b/>
          <w:sz w:val="20"/>
          <w:szCs w:val="20"/>
        </w:rPr>
      </w:pPr>
      <w:r w:rsidRPr="00CC483A">
        <w:rPr>
          <w:rFonts w:eastAsia="Times New Roman" w:cstheme="minorHAnsi"/>
          <w:b/>
          <w:sz w:val="20"/>
          <w:szCs w:val="20"/>
        </w:rPr>
        <w:t xml:space="preserve">Les différences </w:t>
      </w:r>
    </w:p>
    <w:p w:rsidR="00BD1E17" w:rsidRPr="00CC483A" w:rsidRDefault="00BD1E17" w:rsidP="00BD1E17">
      <w:pPr>
        <w:pBdr>
          <w:top w:val="single" w:sz="4" w:space="1" w:color="auto"/>
          <w:left w:val="single" w:sz="4" w:space="1" w:color="auto"/>
          <w:bottom w:val="single" w:sz="4" w:space="1" w:color="auto"/>
          <w:right w:val="single" w:sz="4" w:space="1" w:color="auto"/>
        </w:pBdr>
        <w:spacing w:after="0" w:line="240" w:lineRule="auto"/>
        <w:rPr>
          <w:rFonts w:eastAsia="Times New Roman" w:cstheme="minorHAnsi"/>
          <w:sz w:val="20"/>
          <w:szCs w:val="20"/>
        </w:rPr>
      </w:pPr>
      <w:r w:rsidRPr="00CC483A">
        <w:rPr>
          <w:rFonts w:eastAsia="Times New Roman" w:cstheme="minorHAnsi"/>
          <w:sz w:val="20"/>
          <w:szCs w:val="20"/>
        </w:rPr>
        <w:t>- Lurçat utilise 3 registres au lieu de 2.</w:t>
      </w:r>
    </w:p>
    <w:p w:rsidR="00BD1E17" w:rsidRPr="00CC483A" w:rsidRDefault="00BD1E17" w:rsidP="00BD1E17">
      <w:pPr>
        <w:pBdr>
          <w:top w:val="single" w:sz="4" w:space="1" w:color="auto"/>
          <w:left w:val="single" w:sz="4" w:space="1" w:color="auto"/>
          <w:bottom w:val="single" w:sz="4" w:space="1" w:color="auto"/>
          <w:right w:val="single" w:sz="4" w:space="1" w:color="auto"/>
        </w:pBdr>
        <w:spacing w:after="0" w:line="240" w:lineRule="auto"/>
        <w:rPr>
          <w:rFonts w:eastAsia="Times New Roman" w:cstheme="minorHAnsi"/>
          <w:sz w:val="20"/>
          <w:szCs w:val="20"/>
        </w:rPr>
      </w:pPr>
      <w:r w:rsidRPr="00CC483A">
        <w:rPr>
          <w:rFonts w:eastAsia="Times New Roman" w:cstheme="minorHAnsi"/>
          <w:sz w:val="20"/>
          <w:szCs w:val="20"/>
        </w:rPr>
        <w:t>- Lurçat utilise un fond noir/fond rouge ou bleu pour L'Apocalypse</w:t>
      </w:r>
    </w:p>
    <w:p w:rsidR="00BD1E17" w:rsidRPr="00CC483A" w:rsidRDefault="00BD1E17" w:rsidP="00BD1E17">
      <w:pPr>
        <w:pBdr>
          <w:top w:val="single" w:sz="4" w:space="1" w:color="auto"/>
          <w:left w:val="single" w:sz="4" w:space="1" w:color="auto"/>
          <w:bottom w:val="single" w:sz="4" w:space="1" w:color="auto"/>
          <w:right w:val="single" w:sz="4" w:space="1" w:color="auto"/>
        </w:pBdr>
        <w:spacing w:after="0" w:line="240" w:lineRule="auto"/>
        <w:rPr>
          <w:rFonts w:eastAsia="Times New Roman" w:cstheme="minorHAnsi"/>
          <w:sz w:val="20"/>
          <w:szCs w:val="20"/>
        </w:rPr>
      </w:pPr>
      <w:r w:rsidRPr="00CC483A">
        <w:rPr>
          <w:rFonts w:eastAsia="Times New Roman" w:cstheme="minorHAnsi"/>
          <w:sz w:val="20"/>
          <w:szCs w:val="20"/>
        </w:rPr>
        <w:t>- Grand personnage, un poète/un prophète de la Bible</w:t>
      </w:r>
    </w:p>
    <w:p w:rsidR="00BD1E17" w:rsidRPr="00CC483A" w:rsidRDefault="00BD1E17" w:rsidP="00BD1E17">
      <w:pPr>
        <w:pBdr>
          <w:top w:val="single" w:sz="4" w:space="1" w:color="auto"/>
          <w:left w:val="single" w:sz="4" w:space="1" w:color="auto"/>
          <w:bottom w:val="single" w:sz="4" w:space="1" w:color="auto"/>
          <w:right w:val="single" w:sz="4" w:space="1" w:color="auto"/>
        </w:pBdr>
        <w:spacing w:after="0" w:line="240" w:lineRule="auto"/>
        <w:rPr>
          <w:rFonts w:eastAsia="Times New Roman" w:cstheme="minorHAnsi"/>
          <w:sz w:val="20"/>
          <w:szCs w:val="20"/>
        </w:rPr>
      </w:pPr>
      <w:r w:rsidRPr="00CC483A">
        <w:rPr>
          <w:rFonts w:eastAsia="Times New Roman" w:cstheme="minorHAnsi"/>
          <w:sz w:val="20"/>
          <w:szCs w:val="20"/>
        </w:rPr>
        <w:t>- Le poète représente le signe sagittaire, l'archer évoque pour lui le poète, "celui qui tape dans le mille" Jean Lurçat.</w:t>
      </w:r>
    </w:p>
    <w:p w:rsidR="00BD1E17" w:rsidRPr="00CC483A" w:rsidRDefault="00BD1E17" w:rsidP="00BD1E17">
      <w:pPr>
        <w:pBdr>
          <w:top w:val="single" w:sz="4" w:space="1" w:color="auto"/>
          <w:left w:val="single" w:sz="4" w:space="1" w:color="auto"/>
          <w:bottom w:val="single" w:sz="4" w:space="1" w:color="auto"/>
          <w:right w:val="single" w:sz="4" w:space="1" w:color="auto"/>
        </w:pBdr>
        <w:spacing w:after="0" w:line="240" w:lineRule="auto"/>
        <w:rPr>
          <w:rFonts w:eastAsia="Times New Roman" w:cstheme="minorHAnsi"/>
          <w:sz w:val="20"/>
          <w:szCs w:val="20"/>
        </w:rPr>
      </w:pPr>
      <w:r w:rsidRPr="00CC483A">
        <w:rPr>
          <w:rFonts w:eastAsia="Times New Roman" w:cstheme="minorHAnsi"/>
          <w:sz w:val="20"/>
          <w:szCs w:val="20"/>
        </w:rPr>
        <w:t>- Signe zodiacal dans compartiments/scènes de l'Apocalypse</w:t>
      </w:r>
    </w:p>
    <w:p w:rsidR="00BD1E17" w:rsidRPr="00CC483A" w:rsidRDefault="00BD1E17" w:rsidP="00BD1E17">
      <w:pPr>
        <w:pStyle w:val="NormalWeb"/>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18"/>
          <w:szCs w:val="18"/>
        </w:rPr>
      </w:pPr>
    </w:p>
    <w:p w:rsidR="00BD1E17" w:rsidRPr="00CC483A" w:rsidRDefault="00BD1E17" w:rsidP="00BD1E17">
      <w:pPr>
        <w:pStyle w:val="NormalWeb"/>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18"/>
          <w:szCs w:val="18"/>
        </w:rPr>
      </w:pPr>
    </w:p>
    <w:p w:rsidR="00BD1E17" w:rsidRPr="00CC483A" w:rsidRDefault="00BD1E17" w:rsidP="00BD1E17">
      <w:pPr>
        <w:pStyle w:val="Paragraphedeliste"/>
        <w:pBdr>
          <w:top w:val="single" w:sz="4" w:space="1" w:color="auto"/>
          <w:left w:val="single" w:sz="4" w:space="1" w:color="auto"/>
          <w:bottom w:val="single" w:sz="4" w:space="1" w:color="auto"/>
          <w:right w:val="single" w:sz="4" w:space="1" w:color="auto"/>
        </w:pBdr>
        <w:ind w:left="0"/>
        <w:jc w:val="both"/>
        <w:rPr>
          <w:rFonts w:asciiTheme="minorHAnsi" w:hAnsiTheme="minorHAnsi" w:cstheme="minorHAnsi"/>
          <w:sz w:val="20"/>
          <w:szCs w:val="20"/>
        </w:rPr>
      </w:pPr>
      <w:r w:rsidRPr="00CC483A">
        <w:rPr>
          <w:rFonts w:asciiTheme="minorHAnsi" w:hAnsiTheme="minorHAnsi" w:cstheme="minorHAnsi"/>
          <w:sz w:val="20"/>
          <w:szCs w:val="20"/>
        </w:rPr>
        <w:t xml:space="preserve">Pour </w:t>
      </w:r>
      <w:r w:rsidRPr="00CC483A">
        <w:rPr>
          <w:rFonts w:asciiTheme="minorHAnsi" w:hAnsiTheme="minorHAnsi" w:cstheme="minorHAnsi"/>
          <w:i/>
          <w:sz w:val="20"/>
          <w:szCs w:val="20"/>
        </w:rPr>
        <w:t>Le</w:t>
      </w:r>
      <w:r w:rsidRPr="00CC483A">
        <w:rPr>
          <w:rFonts w:asciiTheme="minorHAnsi" w:hAnsiTheme="minorHAnsi" w:cstheme="minorHAnsi"/>
          <w:sz w:val="20"/>
          <w:szCs w:val="20"/>
        </w:rPr>
        <w:t xml:space="preserve"> </w:t>
      </w:r>
      <w:r w:rsidRPr="00CC483A">
        <w:rPr>
          <w:rFonts w:asciiTheme="minorHAnsi" w:hAnsiTheme="minorHAnsi" w:cstheme="minorHAnsi"/>
          <w:i/>
          <w:sz w:val="20"/>
          <w:szCs w:val="20"/>
        </w:rPr>
        <w:t>Chant du monde,</w:t>
      </w:r>
      <w:r w:rsidRPr="00CC483A">
        <w:rPr>
          <w:rFonts w:asciiTheme="minorHAnsi" w:hAnsiTheme="minorHAnsi" w:cstheme="minorHAnsi"/>
          <w:sz w:val="20"/>
          <w:szCs w:val="20"/>
        </w:rPr>
        <w:t xml:space="preserve"> mais aussi plus généralement dans l’œuvre de Jean Lurçat, les élèves remarqueront également l’importance du mouvement et de motifs récurrents dans le bestiaire les symboles et les formes –en particulier circulaires-.</w:t>
      </w:r>
    </w:p>
    <w:p w:rsidR="00BD1E17" w:rsidRPr="00CC483A" w:rsidRDefault="00BD1E17" w:rsidP="00BD1E17">
      <w:pPr>
        <w:pStyle w:val="Paragraphedeliste"/>
        <w:pBdr>
          <w:top w:val="single" w:sz="4" w:space="1" w:color="auto"/>
          <w:left w:val="single" w:sz="4" w:space="1" w:color="auto"/>
          <w:bottom w:val="single" w:sz="4" w:space="1" w:color="auto"/>
          <w:right w:val="single" w:sz="4" w:space="1" w:color="auto"/>
        </w:pBdr>
        <w:ind w:left="0"/>
        <w:jc w:val="both"/>
        <w:rPr>
          <w:rFonts w:asciiTheme="minorHAnsi" w:hAnsiTheme="minorHAnsi" w:cstheme="minorHAnsi"/>
          <w:i/>
          <w:sz w:val="20"/>
          <w:szCs w:val="20"/>
        </w:rPr>
      </w:pPr>
      <w:r w:rsidRPr="00CC483A">
        <w:rPr>
          <w:rFonts w:asciiTheme="minorHAnsi" w:hAnsiTheme="minorHAnsi" w:cstheme="minorHAnsi"/>
          <w:i/>
          <w:sz w:val="20"/>
          <w:szCs w:val="20"/>
        </w:rPr>
        <w:lastRenderedPageBreak/>
        <w:t xml:space="preserve">«  Depuis longtemps, j’éprouve une satisfaction physique aussitôt que je trace un cercle…Moi, une fois que j’ai tracé mon cercle, j’ai soudain l’impression que je manie le monde ». </w:t>
      </w:r>
      <w:r w:rsidRPr="00CC483A">
        <w:rPr>
          <w:rFonts w:asciiTheme="minorHAnsi" w:hAnsiTheme="minorHAnsi" w:cstheme="minorHAnsi"/>
          <w:sz w:val="20"/>
          <w:szCs w:val="20"/>
        </w:rPr>
        <w:t>Jean Lurçat</w:t>
      </w:r>
    </w:p>
    <w:p w:rsidR="00A83ED6" w:rsidRPr="00BD1E17" w:rsidRDefault="00A83ED6" w:rsidP="00BD1E17"/>
    <w:sectPr w:rsidR="00A83ED6" w:rsidRPr="00BD1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67"/>
    <w:rsid w:val="00157E67"/>
    <w:rsid w:val="00245DA7"/>
    <w:rsid w:val="00A83ED6"/>
    <w:rsid w:val="00BD1E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D6"/>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83ED6"/>
    <w:pPr>
      <w:spacing w:after="0" w:line="240" w:lineRule="auto"/>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83ED6"/>
    <w:rPr>
      <w:rFonts w:ascii="Tahoma" w:hAnsi="Tahoma" w:cs="Tahoma"/>
      <w:sz w:val="16"/>
      <w:szCs w:val="16"/>
    </w:rPr>
  </w:style>
  <w:style w:type="paragraph" w:styleId="Paragraphedeliste">
    <w:name w:val="List Paragraph"/>
    <w:basedOn w:val="Normal"/>
    <w:uiPriority w:val="34"/>
    <w:qFormat/>
    <w:rsid w:val="00BD1E17"/>
    <w:pPr>
      <w:spacing w:after="0" w:line="240" w:lineRule="auto"/>
      <w:ind w:left="720"/>
      <w:contextualSpacing/>
    </w:pPr>
    <w:rPr>
      <w:rFonts w:ascii="Times New Roman" w:eastAsia="PMingLiU" w:hAnsi="Times New Roman" w:cs="Times New Roman"/>
      <w:sz w:val="24"/>
      <w:szCs w:val="24"/>
      <w:lang w:eastAsia="zh-TW"/>
    </w:rPr>
  </w:style>
  <w:style w:type="paragraph" w:styleId="NormalWeb">
    <w:name w:val="Normal (Web)"/>
    <w:basedOn w:val="Normal"/>
    <w:uiPriority w:val="99"/>
    <w:unhideWhenUsed/>
    <w:rsid w:val="00BD1E1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D6"/>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83ED6"/>
    <w:pPr>
      <w:spacing w:after="0" w:line="240" w:lineRule="auto"/>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83ED6"/>
    <w:rPr>
      <w:rFonts w:ascii="Tahoma" w:hAnsi="Tahoma" w:cs="Tahoma"/>
      <w:sz w:val="16"/>
      <w:szCs w:val="16"/>
    </w:rPr>
  </w:style>
  <w:style w:type="paragraph" w:styleId="Paragraphedeliste">
    <w:name w:val="List Paragraph"/>
    <w:basedOn w:val="Normal"/>
    <w:uiPriority w:val="34"/>
    <w:qFormat/>
    <w:rsid w:val="00BD1E17"/>
    <w:pPr>
      <w:spacing w:after="0" w:line="240" w:lineRule="auto"/>
      <w:ind w:left="720"/>
      <w:contextualSpacing/>
    </w:pPr>
    <w:rPr>
      <w:rFonts w:ascii="Times New Roman" w:eastAsia="PMingLiU" w:hAnsi="Times New Roman" w:cs="Times New Roman"/>
      <w:sz w:val="24"/>
      <w:szCs w:val="24"/>
      <w:lang w:eastAsia="zh-TW"/>
    </w:rPr>
  </w:style>
  <w:style w:type="paragraph" w:styleId="NormalWeb">
    <w:name w:val="Normal (Web)"/>
    <w:basedOn w:val="Normal"/>
    <w:uiPriority w:val="99"/>
    <w:unhideWhenUsed/>
    <w:rsid w:val="00BD1E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992</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Nordez</dc:creator>
  <cp:keywords/>
  <dc:description/>
  <cp:lastModifiedBy>Dominique Nordez</cp:lastModifiedBy>
  <cp:revision>3</cp:revision>
  <dcterms:created xsi:type="dcterms:W3CDTF">2016-02-21T21:57:00Z</dcterms:created>
  <dcterms:modified xsi:type="dcterms:W3CDTF">2016-02-21T22:22:00Z</dcterms:modified>
</cp:coreProperties>
</file>