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E46" w:rsidRDefault="00197E46" w:rsidP="00197E46">
      <w:pPr>
        <w:pStyle w:val="Citationintense"/>
      </w:pPr>
      <w:r>
        <w:t>Cimarron au musée d’Histoire de Nantes, exposition temporaire</w:t>
      </w:r>
    </w:p>
    <w:p w:rsidR="00197E46" w:rsidRPr="00365496" w:rsidRDefault="00197E46" w:rsidP="00197E46">
      <w:pPr>
        <w:jc w:val="center"/>
        <w:rPr>
          <w:b/>
          <w:color w:val="0000FF"/>
        </w:rPr>
      </w:pPr>
      <w:r w:rsidRPr="006839B5">
        <w:rPr>
          <w:b/>
        </w:rPr>
        <w:t>1</w:t>
      </w:r>
      <w:r w:rsidRPr="006839B5">
        <w:rPr>
          <w:b/>
          <w:vertAlign w:val="superscript"/>
        </w:rPr>
        <w:t>er</w:t>
      </w:r>
      <w:r w:rsidRPr="006839B5">
        <w:rPr>
          <w:b/>
        </w:rPr>
        <w:t xml:space="preserve"> février – 14 avril</w:t>
      </w:r>
      <w:r w:rsidRPr="00D95D19">
        <w:rPr>
          <w:b/>
        </w:rPr>
        <w:t xml:space="preserve"> 2019</w:t>
      </w:r>
    </w:p>
    <w:p w:rsidR="00197E46" w:rsidRPr="00D95D19" w:rsidRDefault="00197E46" w:rsidP="00197E46">
      <w:pPr>
        <w:pStyle w:val="Titre1"/>
        <w:jc w:val="center"/>
        <w:rPr>
          <w:b/>
          <w:bCs/>
          <w:color w:val="00B0F0"/>
        </w:rPr>
      </w:pPr>
      <w:r w:rsidRPr="00D95D19">
        <w:rPr>
          <w:rStyle w:val="lev"/>
          <w:color w:val="00B0F0"/>
        </w:rPr>
        <w:t>Propositions d’activités pour la voie professionnelle lors d’une visite</w:t>
      </w:r>
    </w:p>
    <w:p w:rsidR="00197E46" w:rsidRDefault="00197E46" w:rsidP="00197E46">
      <w:pPr>
        <w:pStyle w:val="Titre1"/>
      </w:pPr>
    </w:p>
    <w:p w:rsidR="00197E46" w:rsidRDefault="00197E46" w:rsidP="00197E46">
      <w:pPr>
        <w:pStyle w:val="Titre1"/>
      </w:pPr>
      <w:r>
        <w:t>1</w:t>
      </w:r>
      <w:r w:rsidRPr="005D1804">
        <w:rPr>
          <w:vertAlign w:val="superscript"/>
        </w:rPr>
        <w:t>ère</w:t>
      </w:r>
      <w:r>
        <w:t xml:space="preserve"> BAC PRO</w:t>
      </w:r>
    </w:p>
    <w:p w:rsidR="00197E46" w:rsidRPr="00734D6C" w:rsidRDefault="00197E46" w:rsidP="00197E46">
      <w:pPr>
        <w:jc w:val="both"/>
        <w:rPr>
          <w:rStyle w:val="Emphaseintense"/>
        </w:rPr>
      </w:pPr>
      <w:r w:rsidRPr="00734D6C">
        <w:rPr>
          <w:rStyle w:val="Emphaseintense"/>
        </w:rPr>
        <w:t>Exposition temporaire (bâtiment du harnachement).</w:t>
      </w:r>
    </w:p>
    <w:p w:rsidR="00197E46" w:rsidRDefault="00197E46" w:rsidP="00197E46">
      <w:pPr>
        <w:jc w:val="both"/>
      </w:pPr>
    </w:p>
    <w:p w:rsidR="00197E46" w:rsidRPr="001433CA" w:rsidRDefault="00197E46" w:rsidP="00197E46">
      <w:pPr>
        <w:jc w:val="both"/>
        <w:rPr>
          <w:b/>
        </w:rPr>
      </w:pPr>
      <w:r w:rsidRPr="001433CA">
        <w:rPr>
          <w:b/>
        </w:rPr>
        <w:t xml:space="preserve">Français </w:t>
      </w:r>
      <w:r>
        <w:rPr>
          <w:b/>
        </w:rPr>
        <w:t xml:space="preserve">/ Arts Appliqués / Enseignement Professionnel </w:t>
      </w:r>
    </w:p>
    <w:p w:rsidR="00197E46" w:rsidRDefault="00197E46" w:rsidP="00197E46">
      <w:pPr>
        <w:jc w:val="both"/>
      </w:pPr>
    </w:p>
    <w:p w:rsidR="00197E46" w:rsidRPr="00734D6C" w:rsidRDefault="00197E46" w:rsidP="00197E46">
      <w:pPr>
        <w:jc w:val="both"/>
        <w:rPr>
          <w:b/>
        </w:rPr>
      </w:pPr>
      <w:r>
        <w:rPr>
          <w:b/>
        </w:rPr>
        <w:t xml:space="preserve">Français </w:t>
      </w:r>
      <w:r w:rsidRPr="00734D6C">
        <w:rPr>
          <w:b/>
        </w:rPr>
        <w:t xml:space="preserve"> </w:t>
      </w:r>
    </w:p>
    <w:p w:rsidR="00197E46" w:rsidRPr="0024750E" w:rsidRDefault="00197E46" w:rsidP="00197E46">
      <w:pPr>
        <w:jc w:val="both"/>
        <w:rPr>
          <w:b/>
        </w:rPr>
      </w:pPr>
      <w:r w:rsidRPr="0024750E">
        <w:rPr>
          <w:b/>
        </w:rPr>
        <w:t>« Les Philosophes des Lumières et les combats contre l’injustice »</w:t>
      </w:r>
    </w:p>
    <w:p w:rsidR="00197E46" w:rsidRPr="0024750E" w:rsidRDefault="00197E46" w:rsidP="00197E46">
      <w:pPr>
        <w:autoSpaceDE w:val="0"/>
        <w:autoSpaceDN w:val="0"/>
        <w:adjustRightInd w:val="0"/>
        <w:rPr>
          <w:rFonts w:cs="Times New Roman"/>
          <w:b/>
        </w:rPr>
      </w:pPr>
      <w:r w:rsidRPr="0024750E">
        <w:rPr>
          <w:rFonts w:cs="Times New Roman"/>
          <w:b/>
        </w:rPr>
        <w:t xml:space="preserve">- Quelles armes littéraires les </w:t>
      </w:r>
      <w:r>
        <w:rPr>
          <w:rFonts w:cs="Times New Roman"/>
          <w:b/>
        </w:rPr>
        <w:t>philosophes des Lumières on</w:t>
      </w:r>
      <w:r w:rsidRPr="0024750E">
        <w:rPr>
          <w:rFonts w:cs="Times New Roman"/>
          <w:b/>
        </w:rPr>
        <w:t>t</w:t>
      </w:r>
      <w:r>
        <w:rPr>
          <w:rFonts w:cs="Times New Roman"/>
          <w:b/>
        </w:rPr>
        <w:t>-</w:t>
      </w:r>
      <w:r w:rsidRPr="0024750E">
        <w:rPr>
          <w:rFonts w:cs="Times New Roman"/>
          <w:b/>
        </w:rPr>
        <w:t>ils léguées aux générations suivantes pour dénoncer l’injustice ?</w:t>
      </w:r>
    </w:p>
    <w:p w:rsidR="00197E46" w:rsidRPr="0024750E" w:rsidRDefault="00197E46" w:rsidP="00197E46">
      <w:pPr>
        <w:autoSpaceDE w:val="0"/>
        <w:autoSpaceDN w:val="0"/>
        <w:adjustRightInd w:val="0"/>
        <w:jc w:val="both"/>
        <w:rPr>
          <w:rFonts w:cs="Times New Roman"/>
          <w:b/>
        </w:rPr>
      </w:pPr>
      <w:r w:rsidRPr="0024750E">
        <w:rPr>
          <w:rFonts w:cs="Times New Roman"/>
          <w:b/>
        </w:rPr>
        <w:t>- En quoi les écrits des philosophes des Lumières permettent</w:t>
      </w:r>
      <w:r>
        <w:rPr>
          <w:rFonts w:cs="Times New Roman"/>
          <w:b/>
        </w:rPr>
        <w:t>-</w:t>
      </w:r>
      <w:r w:rsidRPr="0024750E">
        <w:rPr>
          <w:rFonts w:cs="Times New Roman"/>
          <w:b/>
        </w:rPr>
        <w:t xml:space="preserve">ils l’élaboration d’un jugement </w:t>
      </w:r>
      <w:r>
        <w:rPr>
          <w:rFonts w:cs="Times New Roman"/>
          <w:b/>
        </w:rPr>
        <w:t>argumenté</w:t>
      </w:r>
      <w:r w:rsidRPr="0024750E">
        <w:rPr>
          <w:rFonts w:cs="Times New Roman"/>
          <w:b/>
        </w:rPr>
        <w:t>?</w:t>
      </w:r>
    </w:p>
    <w:p w:rsidR="00197E46" w:rsidRPr="0024750E" w:rsidRDefault="00197E46" w:rsidP="00197E46">
      <w:pPr>
        <w:autoSpaceDE w:val="0"/>
        <w:autoSpaceDN w:val="0"/>
        <w:adjustRightInd w:val="0"/>
        <w:rPr>
          <w:rFonts w:ascii="Times New Roman" w:hAnsi="Times New Roman" w:cs="Times New Roman"/>
          <w:sz w:val="20"/>
          <w:szCs w:val="20"/>
        </w:rPr>
      </w:pPr>
    </w:p>
    <w:tbl>
      <w:tblPr>
        <w:tblStyle w:val="Grilledutableau"/>
        <w:tblW w:w="0" w:type="auto"/>
        <w:tblLook w:val="04A0"/>
      </w:tblPr>
      <w:tblGrid>
        <w:gridCol w:w="3065"/>
        <w:gridCol w:w="3229"/>
        <w:gridCol w:w="2994"/>
      </w:tblGrid>
      <w:tr w:rsidR="00197E46" w:rsidTr="00B618BD">
        <w:tc>
          <w:tcPr>
            <w:tcW w:w="3533" w:type="dxa"/>
          </w:tcPr>
          <w:p w:rsidR="00197E46" w:rsidRDefault="00197E46" w:rsidP="00B618BD">
            <w:pPr>
              <w:jc w:val="center"/>
            </w:pPr>
            <w:r>
              <w:t>Capacités</w:t>
            </w:r>
          </w:p>
        </w:tc>
        <w:tc>
          <w:tcPr>
            <w:tcW w:w="3533" w:type="dxa"/>
          </w:tcPr>
          <w:p w:rsidR="00197E46" w:rsidRDefault="00197E46" w:rsidP="00B618BD">
            <w:pPr>
              <w:jc w:val="center"/>
            </w:pPr>
            <w:r>
              <w:t>Connaissances</w:t>
            </w:r>
          </w:p>
        </w:tc>
        <w:tc>
          <w:tcPr>
            <w:tcW w:w="3534" w:type="dxa"/>
          </w:tcPr>
          <w:p w:rsidR="00197E46" w:rsidRDefault="00197E46" w:rsidP="00B618BD">
            <w:pPr>
              <w:jc w:val="center"/>
            </w:pPr>
            <w:r>
              <w:t>Attitudes</w:t>
            </w:r>
          </w:p>
        </w:tc>
      </w:tr>
      <w:tr w:rsidR="00197E46" w:rsidRPr="008D17E7" w:rsidTr="00B618BD">
        <w:tc>
          <w:tcPr>
            <w:tcW w:w="3533" w:type="dxa"/>
          </w:tcPr>
          <w:p w:rsidR="00197E46" w:rsidRPr="008D17E7" w:rsidRDefault="00197E46" w:rsidP="00B618BD">
            <w:pPr>
              <w:autoSpaceDE w:val="0"/>
              <w:autoSpaceDN w:val="0"/>
              <w:adjustRightInd w:val="0"/>
              <w:rPr>
                <w:rFonts w:cs="Times New Roman"/>
              </w:rPr>
            </w:pPr>
            <w:r w:rsidRPr="008D17E7">
              <w:rPr>
                <w:rFonts w:cs="Times New Roman"/>
              </w:rPr>
              <w:t>Exprimer à l’oral ses convictions, son</w:t>
            </w:r>
            <w:r>
              <w:rPr>
                <w:rFonts w:cs="Times New Roman"/>
              </w:rPr>
              <w:t xml:space="preserve"> </w:t>
            </w:r>
            <w:r w:rsidRPr="008D17E7">
              <w:rPr>
                <w:rFonts w:cs="Times New Roman"/>
              </w:rPr>
              <w:t>engagement, son désaccord.</w:t>
            </w:r>
          </w:p>
          <w:p w:rsidR="00197E46" w:rsidRPr="008D17E7" w:rsidRDefault="00197E46" w:rsidP="00B618BD">
            <w:pPr>
              <w:autoSpaceDE w:val="0"/>
              <w:autoSpaceDN w:val="0"/>
              <w:adjustRightInd w:val="0"/>
              <w:rPr>
                <w:rFonts w:cs="Times New Roman"/>
              </w:rPr>
            </w:pPr>
            <w:r w:rsidRPr="008D17E7">
              <w:rPr>
                <w:rFonts w:cs="Times New Roman"/>
              </w:rPr>
              <w:t>Argumenter à l’</w:t>
            </w:r>
            <w:r>
              <w:rPr>
                <w:rFonts w:cs="Times New Roman"/>
              </w:rPr>
              <w:t xml:space="preserve">écrit : énoncer son point </w:t>
            </w:r>
            <w:r w:rsidRPr="008D17E7">
              <w:rPr>
                <w:rFonts w:cs="Times New Roman"/>
              </w:rPr>
              <w:t>de vue,</w:t>
            </w:r>
            <w:r>
              <w:rPr>
                <w:rFonts w:cs="Times New Roman"/>
              </w:rPr>
              <w:t xml:space="preserve"> le soutenir par des arguments, </w:t>
            </w:r>
            <w:r w:rsidRPr="008D17E7">
              <w:rPr>
                <w:rFonts w:cs="Times New Roman"/>
              </w:rPr>
              <w:t>conclure.</w:t>
            </w:r>
          </w:p>
          <w:p w:rsidR="00197E46" w:rsidRPr="008D17E7" w:rsidRDefault="00197E46" w:rsidP="00B618BD">
            <w:pPr>
              <w:autoSpaceDE w:val="0"/>
              <w:autoSpaceDN w:val="0"/>
              <w:adjustRightInd w:val="0"/>
              <w:rPr>
                <w:rFonts w:cs="Times New Roman"/>
              </w:rPr>
            </w:pPr>
            <w:r w:rsidRPr="008D17E7">
              <w:rPr>
                <w:rFonts w:cs="Times New Roman"/>
              </w:rPr>
              <w:t>Confronter sur une question de société un</w:t>
            </w:r>
            <w:r>
              <w:rPr>
                <w:rFonts w:cs="Times New Roman"/>
              </w:rPr>
              <w:t xml:space="preserve"> </w:t>
            </w:r>
            <w:r w:rsidRPr="008D17E7">
              <w:rPr>
                <w:rFonts w:cs="Times New Roman"/>
              </w:rPr>
              <w:t xml:space="preserve">débat du XVIIIe </w:t>
            </w:r>
            <w:r>
              <w:rPr>
                <w:rFonts w:cs="Times New Roman"/>
              </w:rPr>
              <w:t xml:space="preserve">siècle et un débat </w:t>
            </w:r>
            <w:r w:rsidRPr="008D17E7">
              <w:rPr>
                <w:rFonts w:cs="Times New Roman"/>
              </w:rPr>
              <w:t>contemporain.</w:t>
            </w:r>
          </w:p>
        </w:tc>
        <w:tc>
          <w:tcPr>
            <w:tcW w:w="3533" w:type="dxa"/>
          </w:tcPr>
          <w:p w:rsidR="00197E46" w:rsidRPr="008D17E7" w:rsidRDefault="00197E46" w:rsidP="00B618BD">
            <w:pPr>
              <w:autoSpaceDE w:val="0"/>
              <w:autoSpaceDN w:val="0"/>
              <w:adjustRightInd w:val="0"/>
              <w:rPr>
                <w:rFonts w:cs="Times New Roman"/>
              </w:rPr>
            </w:pPr>
            <w:r w:rsidRPr="008D17E7">
              <w:rPr>
                <w:rFonts w:cs="Times New Roman"/>
                <w:i/>
                <w:iCs/>
              </w:rPr>
              <w:t xml:space="preserve">Champ linguistique </w:t>
            </w:r>
            <w:r w:rsidRPr="008D17E7">
              <w:rPr>
                <w:rFonts w:cs="Times New Roman"/>
              </w:rPr>
              <w:t>:</w:t>
            </w:r>
          </w:p>
          <w:p w:rsidR="00197E46" w:rsidRPr="008D17E7" w:rsidRDefault="00197E46" w:rsidP="00B618BD">
            <w:pPr>
              <w:autoSpaceDE w:val="0"/>
              <w:autoSpaceDN w:val="0"/>
              <w:adjustRightInd w:val="0"/>
              <w:rPr>
                <w:rFonts w:cs="Times New Roman"/>
              </w:rPr>
            </w:pPr>
            <w:r>
              <w:rPr>
                <w:rFonts w:cs="Times New Roman"/>
              </w:rPr>
              <w:t xml:space="preserve">Lexique : juste/injuste, </w:t>
            </w:r>
            <w:r w:rsidRPr="008D17E7">
              <w:rPr>
                <w:rFonts w:cs="Times New Roman"/>
              </w:rPr>
              <w:t>tolérable/intolérable.</w:t>
            </w:r>
          </w:p>
          <w:p w:rsidR="00197E46" w:rsidRPr="008D17E7" w:rsidRDefault="00197E46" w:rsidP="00B618BD">
            <w:pPr>
              <w:autoSpaceDE w:val="0"/>
              <w:autoSpaceDN w:val="0"/>
              <w:adjustRightInd w:val="0"/>
              <w:rPr>
                <w:rFonts w:cs="Times New Roman"/>
              </w:rPr>
            </w:pPr>
            <w:r w:rsidRPr="008D17E7">
              <w:rPr>
                <w:rFonts w:cs="Times New Roman"/>
              </w:rPr>
              <w:t>Lexique de la morale, du droit, de l’engagement.</w:t>
            </w:r>
          </w:p>
          <w:p w:rsidR="00197E46" w:rsidRPr="008D17E7" w:rsidRDefault="00197E46" w:rsidP="00B618BD">
            <w:pPr>
              <w:autoSpaceDE w:val="0"/>
              <w:autoSpaceDN w:val="0"/>
              <w:adjustRightInd w:val="0"/>
              <w:rPr>
                <w:rFonts w:cs="Times New Roman"/>
              </w:rPr>
            </w:pPr>
            <w:r w:rsidRPr="008D17E7">
              <w:rPr>
                <w:rFonts w:cs="Times New Roman"/>
              </w:rPr>
              <w:t>Les propositions relatives.</w:t>
            </w:r>
          </w:p>
          <w:p w:rsidR="00197E46" w:rsidRPr="008D17E7" w:rsidRDefault="00197E46" w:rsidP="00B618BD">
            <w:pPr>
              <w:autoSpaceDE w:val="0"/>
              <w:autoSpaceDN w:val="0"/>
              <w:adjustRightInd w:val="0"/>
              <w:rPr>
                <w:rFonts w:cs="Times New Roman"/>
              </w:rPr>
            </w:pPr>
            <w:r w:rsidRPr="008D17E7">
              <w:rPr>
                <w:rFonts w:cs="Times New Roman"/>
              </w:rPr>
              <w:t>Connecteurs d’opposition, de cause et de</w:t>
            </w:r>
            <w:r>
              <w:rPr>
                <w:rFonts w:cs="Times New Roman"/>
              </w:rPr>
              <w:t xml:space="preserve"> </w:t>
            </w:r>
            <w:r w:rsidRPr="008D17E7">
              <w:rPr>
                <w:rFonts w:cs="Times New Roman"/>
              </w:rPr>
              <w:t>conséquence.</w:t>
            </w:r>
          </w:p>
          <w:p w:rsidR="00197E46" w:rsidRPr="008D17E7" w:rsidRDefault="00197E46" w:rsidP="00B618BD">
            <w:pPr>
              <w:autoSpaceDE w:val="0"/>
              <w:autoSpaceDN w:val="0"/>
              <w:adjustRightInd w:val="0"/>
              <w:rPr>
                <w:rFonts w:cs="Times New Roman"/>
              </w:rPr>
            </w:pPr>
            <w:r w:rsidRPr="008D17E7">
              <w:rPr>
                <w:rFonts w:cs="Times New Roman"/>
              </w:rPr>
              <w:t>Argumentation indirecte, ironie, antiphrase.</w:t>
            </w:r>
          </w:p>
          <w:p w:rsidR="00197E46" w:rsidRPr="008D17E7" w:rsidRDefault="00197E46" w:rsidP="00B618BD">
            <w:pPr>
              <w:autoSpaceDE w:val="0"/>
              <w:autoSpaceDN w:val="0"/>
              <w:adjustRightInd w:val="0"/>
              <w:rPr>
                <w:rFonts w:cs="Times New Roman"/>
              </w:rPr>
            </w:pPr>
            <w:r w:rsidRPr="008D17E7">
              <w:rPr>
                <w:rFonts w:cs="Times New Roman"/>
              </w:rPr>
              <w:t>Personnification, métaphore.</w:t>
            </w:r>
          </w:p>
          <w:p w:rsidR="00197E46" w:rsidRPr="008D17E7" w:rsidRDefault="00197E46" w:rsidP="00B618BD">
            <w:pPr>
              <w:autoSpaceDE w:val="0"/>
              <w:autoSpaceDN w:val="0"/>
              <w:adjustRightInd w:val="0"/>
              <w:rPr>
                <w:rFonts w:cs="Times New Roman"/>
                <w:i/>
                <w:iCs/>
              </w:rPr>
            </w:pPr>
            <w:r w:rsidRPr="008D17E7">
              <w:rPr>
                <w:rFonts w:cs="Times New Roman"/>
                <w:i/>
                <w:iCs/>
              </w:rPr>
              <w:t>Histoire des arts :</w:t>
            </w:r>
          </w:p>
          <w:p w:rsidR="00197E46" w:rsidRDefault="00197E46" w:rsidP="00B618BD">
            <w:pPr>
              <w:autoSpaceDE w:val="0"/>
              <w:autoSpaceDN w:val="0"/>
              <w:adjustRightInd w:val="0"/>
              <w:rPr>
                <w:rFonts w:cs="Times New Roman"/>
              </w:rPr>
            </w:pPr>
            <w:r w:rsidRPr="008D17E7">
              <w:rPr>
                <w:rFonts w:cs="Times New Roman"/>
              </w:rPr>
              <w:t>Thématiques : « Arts, mémoires, témoignages,</w:t>
            </w:r>
            <w:r>
              <w:rPr>
                <w:rFonts w:cs="Times New Roman"/>
              </w:rPr>
              <w:t xml:space="preserve"> </w:t>
            </w:r>
            <w:r w:rsidRPr="008D17E7">
              <w:rPr>
                <w:rFonts w:cs="Times New Roman"/>
              </w:rPr>
              <w:t xml:space="preserve">engagements », </w:t>
            </w:r>
          </w:p>
          <w:p w:rsidR="00197E46" w:rsidRPr="008D17E7" w:rsidRDefault="00197E46" w:rsidP="00B618BD">
            <w:pPr>
              <w:autoSpaceDE w:val="0"/>
              <w:autoSpaceDN w:val="0"/>
              <w:adjustRightInd w:val="0"/>
              <w:rPr>
                <w:rFonts w:cs="Times New Roman"/>
              </w:rPr>
            </w:pPr>
            <w:r w:rsidRPr="008D17E7">
              <w:rPr>
                <w:rFonts w:cs="Times New Roman"/>
              </w:rPr>
              <w:t>« Arts, sociétés, cultures ».</w:t>
            </w:r>
          </w:p>
        </w:tc>
        <w:tc>
          <w:tcPr>
            <w:tcW w:w="3534" w:type="dxa"/>
          </w:tcPr>
          <w:p w:rsidR="00197E46" w:rsidRPr="008D17E7" w:rsidRDefault="00197E46" w:rsidP="00B618BD">
            <w:pPr>
              <w:autoSpaceDE w:val="0"/>
              <w:autoSpaceDN w:val="0"/>
              <w:adjustRightInd w:val="0"/>
              <w:rPr>
                <w:rFonts w:cs="Times New Roman"/>
              </w:rPr>
            </w:pPr>
            <w:r w:rsidRPr="008D17E7">
              <w:rPr>
                <w:rFonts w:cs="Times New Roman"/>
              </w:rPr>
              <w:t>Accepter d’écouter la pensée de</w:t>
            </w:r>
          </w:p>
          <w:p w:rsidR="00197E46" w:rsidRPr="008D17E7" w:rsidRDefault="00197E46" w:rsidP="00B618BD">
            <w:pPr>
              <w:autoSpaceDE w:val="0"/>
              <w:autoSpaceDN w:val="0"/>
              <w:adjustRightInd w:val="0"/>
              <w:rPr>
                <w:rFonts w:cs="Times New Roman"/>
              </w:rPr>
            </w:pPr>
            <w:r w:rsidRPr="008D17E7">
              <w:rPr>
                <w:rFonts w:cs="Times New Roman"/>
              </w:rPr>
              <w:t>l’autre pour émettre une pensée</w:t>
            </w:r>
          </w:p>
          <w:p w:rsidR="00197E46" w:rsidRPr="008D17E7" w:rsidRDefault="00197E46" w:rsidP="00B618BD">
            <w:pPr>
              <w:autoSpaceDE w:val="0"/>
              <w:autoSpaceDN w:val="0"/>
              <w:adjustRightInd w:val="0"/>
              <w:rPr>
                <w:rFonts w:cs="Times New Roman"/>
              </w:rPr>
            </w:pPr>
            <w:r w:rsidRPr="008D17E7">
              <w:rPr>
                <w:rFonts w:cs="Times New Roman"/>
              </w:rPr>
              <w:t>personnelle et prendre position.</w:t>
            </w:r>
          </w:p>
          <w:p w:rsidR="00197E46" w:rsidRPr="008D17E7" w:rsidRDefault="00197E46" w:rsidP="00B618BD">
            <w:pPr>
              <w:autoSpaceDE w:val="0"/>
              <w:autoSpaceDN w:val="0"/>
              <w:adjustRightInd w:val="0"/>
              <w:rPr>
                <w:rFonts w:cs="Times New Roman"/>
              </w:rPr>
            </w:pPr>
            <w:r w:rsidRPr="008D17E7">
              <w:rPr>
                <w:rFonts w:cs="Times New Roman"/>
              </w:rPr>
              <w:t>Être un citoyen conscient de la</w:t>
            </w:r>
          </w:p>
          <w:p w:rsidR="00197E46" w:rsidRPr="008D17E7" w:rsidRDefault="00197E46" w:rsidP="00B618BD">
            <w:pPr>
              <w:autoSpaceDE w:val="0"/>
              <w:autoSpaceDN w:val="0"/>
              <w:adjustRightInd w:val="0"/>
              <w:rPr>
                <w:rFonts w:cs="Times New Roman"/>
              </w:rPr>
            </w:pPr>
            <w:r w:rsidRPr="008D17E7">
              <w:rPr>
                <w:rFonts w:cs="Times New Roman"/>
              </w:rPr>
              <w:t>nécessité de s’impliquer et de</w:t>
            </w:r>
          </w:p>
          <w:p w:rsidR="00197E46" w:rsidRPr="008D17E7" w:rsidRDefault="00197E46" w:rsidP="00B618BD">
            <w:r w:rsidRPr="008D17E7">
              <w:rPr>
                <w:rFonts w:cs="Times New Roman"/>
              </w:rPr>
              <w:t>défendre des valeurs.</w:t>
            </w:r>
          </w:p>
        </w:tc>
      </w:tr>
    </w:tbl>
    <w:p w:rsidR="00197E46" w:rsidRDefault="00197E46" w:rsidP="00197E46">
      <w:pPr>
        <w:jc w:val="both"/>
      </w:pPr>
    </w:p>
    <w:p w:rsidR="00197E46" w:rsidRDefault="00197E46" w:rsidP="00197E46">
      <w:pPr>
        <w:jc w:val="both"/>
      </w:pPr>
      <w:r>
        <w:t xml:space="preserve">L’exposition Cimarron peut servir de cadre à l’étude de l’objet d’étude « Les Philosophes des Lumières et les combats contre l’injustice ». </w:t>
      </w:r>
    </w:p>
    <w:p w:rsidR="00197E46" w:rsidRDefault="00197E46" w:rsidP="00197E46">
      <w:pPr>
        <w:jc w:val="both"/>
      </w:pPr>
    </w:p>
    <w:p w:rsidR="00197E46" w:rsidRDefault="00197E46" w:rsidP="00197E46">
      <w:pPr>
        <w:jc w:val="both"/>
      </w:pPr>
      <w:r>
        <w:t xml:space="preserve">Les élèves répartis en groupes de 4 parcourent alors l’exposition à la recherche des traces qui servent la mémoire de l’esclavage. Ces traces ainsi trouvées serviront à </w:t>
      </w:r>
      <w:proofErr w:type="spellStart"/>
      <w:r>
        <w:t>recontextualiser</w:t>
      </w:r>
      <w:proofErr w:type="spellEnd"/>
      <w:r>
        <w:t xml:space="preserve"> les conditions de l’esclavage ainsi que les luttes qui ont conduit aux abolitions. </w:t>
      </w:r>
    </w:p>
    <w:p w:rsidR="00197E46" w:rsidRDefault="00197E46" w:rsidP="00197E46">
      <w:pPr>
        <w:jc w:val="both"/>
      </w:pPr>
      <w:r>
        <w:t>Il s’agira ensuite de proposer aux élèves de choisir individuellement une photographie de l’Artiste et de la prendre via une tablette afin d’en faciliter la collecte.</w:t>
      </w:r>
    </w:p>
    <w:p w:rsidR="00197E46" w:rsidRDefault="00197E46" w:rsidP="00197E46">
      <w:pPr>
        <w:jc w:val="both"/>
      </w:pPr>
    </w:p>
    <w:p w:rsidR="00197E46" w:rsidRDefault="00197E46" w:rsidP="00197E46">
      <w:pPr>
        <w:jc w:val="both"/>
      </w:pPr>
      <w:r>
        <w:lastRenderedPageBreak/>
        <w:t>De retour en classe, les élèves font parler le personnage ainsi retenu, à la manière des Lumières, sur les injustices d’hier.</w:t>
      </w:r>
    </w:p>
    <w:p w:rsidR="00197E46" w:rsidRPr="00D95D19" w:rsidRDefault="00197E46" w:rsidP="00197E46">
      <w:pPr>
        <w:jc w:val="both"/>
      </w:pPr>
      <w:r>
        <w:t xml:space="preserve">La </w:t>
      </w:r>
      <w:proofErr w:type="spellStart"/>
      <w:r>
        <w:t>recontextualisation</w:t>
      </w:r>
      <w:proofErr w:type="spellEnd"/>
      <w:r>
        <w:t xml:space="preserve"> de la traite des Noirs et de l’esclavage est effectuée à partir des recueils </w:t>
      </w:r>
      <w:r w:rsidRPr="00D95D19">
        <w:t>d’information réalisés au musée.</w:t>
      </w:r>
    </w:p>
    <w:p w:rsidR="00197E46" w:rsidRPr="00D95D19" w:rsidRDefault="00197E46" w:rsidP="00197E46">
      <w:pPr>
        <w:jc w:val="both"/>
      </w:pPr>
      <w:r w:rsidRPr="00D95D19">
        <w:t xml:space="preserve">Les élèves doivent ensuite trouver des informations soit en autonomie, soit avec l’accompagnement de l’enseignant, sur les injustices raciales, sociétales… que connaissent actuellement les espaces qui correspondent aux photographies (14 pays, des </w:t>
      </w:r>
      <w:r w:rsidRPr="00D95D19">
        <w:rPr>
          <w:rFonts w:cstheme="minorHAnsi"/>
        </w:rPr>
        <w:t>É</w:t>
      </w:r>
      <w:r w:rsidRPr="00D95D19">
        <w:t>tats-Unis au Brésil).</w:t>
      </w:r>
    </w:p>
    <w:p w:rsidR="00197E46" w:rsidRDefault="00197E46" w:rsidP="00197E46">
      <w:pPr>
        <w:jc w:val="both"/>
      </w:pPr>
      <w:r>
        <w:t xml:space="preserve">Dans le cadre d’un projet d’écriture longue, les élèves reprennent leur premier jet et rédigent ensuite un texte dans lequel le personnage de la photographie dénonce, toujours à la manière des Lumières, les injustices actuelles dont il serait un témoin malheureusement privilégié. </w:t>
      </w:r>
    </w:p>
    <w:p w:rsidR="00197E46" w:rsidRDefault="00197E46" w:rsidP="00197E46">
      <w:pPr>
        <w:jc w:val="both"/>
      </w:pPr>
    </w:p>
    <w:p w:rsidR="00197E46" w:rsidRPr="008D17E7" w:rsidRDefault="00197E46" w:rsidP="00197E46">
      <w:pPr>
        <w:jc w:val="both"/>
        <w:rPr>
          <w:b/>
        </w:rPr>
      </w:pPr>
      <w:r w:rsidRPr="005B5102">
        <w:rPr>
          <w:b/>
        </w:rPr>
        <w:t xml:space="preserve">Arts Appliqués </w:t>
      </w:r>
      <w:r>
        <w:rPr>
          <w:b/>
        </w:rPr>
        <w:t xml:space="preserve">/ Métiers de la mode… </w:t>
      </w:r>
    </w:p>
    <w:p w:rsidR="00197E46" w:rsidRDefault="00197E46" w:rsidP="00197E46">
      <w:pPr>
        <w:jc w:val="both"/>
        <w:rPr>
          <w:i/>
        </w:rPr>
      </w:pPr>
      <w:r>
        <w:t xml:space="preserve">Afin de dénoncer une injustice actuelle qui les touche particulièrement, à partir des images collectées, les élèves proposent leur réinterprétation d’un masque </w:t>
      </w:r>
      <w:r w:rsidRPr="00B768CE">
        <w:rPr>
          <w:i/>
        </w:rPr>
        <w:t>« à la manière de… »</w:t>
      </w:r>
      <w:r>
        <w:rPr>
          <w:i/>
        </w:rPr>
        <w:t>.</w:t>
      </w:r>
    </w:p>
    <w:p w:rsidR="00886346" w:rsidRDefault="00886346" w:rsidP="00197E46"/>
    <w:p w:rsidR="000E1312" w:rsidRPr="00E933FD" w:rsidRDefault="000E1312" w:rsidP="000E1312">
      <w:pPr>
        <w:jc w:val="right"/>
        <w:rPr>
          <w:i/>
          <w:color w:val="0070C0"/>
          <w:sz w:val="20"/>
          <w:szCs w:val="20"/>
        </w:rPr>
      </w:pPr>
      <w:r w:rsidRPr="00E933FD">
        <w:rPr>
          <w:i/>
          <w:color w:val="0070C0"/>
          <w:sz w:val="20"/>
          <w:szCs w:val="20"/>
        </w:rPr>
        <w:t xml:space="preserve">Stanislas Guillet, PLP Lettres Histoire-Géographie, Lycée Monge La </w:t>
      </w:r>
      <w:proofErr w:type="spellStart"/>
      <w:r w:rsidRPr="00E933FD">
        <w:rPr>
          <w:i/>
          <w:color w:val="0070C0"/>
          <w:sz w:val="20"/>
          <w:szCs w:val="20"/>
        </w:rPr>
        <w:t>Chauvinière</w:t>
      </w:r>
      <w:proofErr w:type="spellEnd"/>
      <w:r w:rsidRPr="00E933FD">
        <w:rPr>
          <w:i/>
          <w:color w:val="0070C0"/>
          <w:sz w:val="20"/>
          <w:szCs w:val="20"/>
        </w:rPr>
        <w:t xml:space="preserve">, </w:t>
      </w:r>
    </w:p>
    <w:p w:rsidR="000E1312" w:rsidRPr="00E933FD" w:rsidRDefault="000E1312" w:rsidP="000E1312">
      <w:pPr>
        <w:jc w:val="right"/>
        <w:rPr>
          <w:i/>
          <w:color w:val="0070C0"/>
          <w:sz w:val="20"/>
          <w:szCs w:val="20"/>
        </w:rPr>
      </w:pPr>
      <w:r w:rsidRPr="00E933FD">
        <w:rPr>
          <w:i/>
          <w:color w:val="0070C0"/>
          <w:sz w:val="20"/>
          <w:szCs w:val="20"/>
        </w:rPr>
        <w:t xml:space="preserve">Chargé de mission à la DAAC auprès du musée d’Histoire de Nantes, Château des Ducs de Bretagne. </w:t>
      </w:r>
    </w:p>
    <w:p w:rsidR="000E1312" w:rsidRPr="00197E46" w:rsidRDefault="000E1312" w:rsidP="00197E46"/>
    <w:sectPr w:rsidR="000E1312" w:rsidRPr="00197E46" w:rsidSect="00197E46">
      <w:pgSz w:w="11906" w:h="16838"/>
      <w:pgMar w:top="284"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197E46"/>
    <w:rsid w:val="000E1312"/>
    <w:rsid w:val="00197E46"/>
    <w:rsid w:val="0088634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E46"/>
    <w:pPr>
      <w:spacing w:after="0" w:line="240" w:lineRule="auto"/>
    </w:pPr>
    <w:rPr>
      <w:sz w:val="24"/>
      <w:szCs w:val="24"/>
    </w:rPr>
  </w:style>
  <w:style w:type="paragraph" w:styleId="Titre1">
    <w:name w:val="heading 1"/>
    <w:basedOn w:val="Normal"/>
    <w:next w:val="Normal"/>
    <w:link w:val="Titre1Car"/>
    <w:uiPriority w:val="9"/>
    <w:qFormat/>
    <w:rsid w:val="00197E4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97E46"/>
    <w:rPr>
      <w:rFonts w:asciiTheme="majorHAnsi" w:eastAsiaTheme="majorEastAsia" w:hAnsiTheme="majorHAnsi" w:cstheme="majorBidi"/>
      <w:color w:val="365F91" w:themeColor="accent1" w:themeShade="BF"/>
      <w:sz w:val="32"/>
      <w:szCs w:val="32"/>
    </w:rPr>
  </w:style>
  <w:style w:type="character" w:styleId="Emphaseintense">
    <w:name w:val="Intense Emphasis"/>
    <w:basedOn w:val="Policepardfaut"/>
    <w:uiPriority w:val="21"/>
    <w:qFormat/>
    <w:rsid w:val="00197E46"/>
    <w:rPr>
      <w:i/>
      <w:iCs/>
      <w:color w:val="4F81BD" w:themeColor="accent1"/>
    </w:rPr>
  </w:style>
  <w:style w:type="table" w:styleId="Grilledutableau">
    <w:name w:val="Table Grid"/>
    <w:basedOn w:val="TableauNormal"/>
    <w:uiPriority w:val="39"/>
    <w:rsid w:val="00197E46"/>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itationintense">
    <w:name w:val="Intense Quote"/>
    <w:basedOn w:val="Normal"/>
    <w:next w:val="Normal"/>
    <w:link w:val="CitationintenseCar"/>
    <w:uiPriority w:val="30"/>
    <w:qFormat/>
    <w:rsid w:val="00197E4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197E46"/>
    <w:rPr>
      <w:i/>
      <w:iCs/>
      <w:color w:val="4F81BD" w:themeColor="accent1"/>
      <w:sz w:val="24"/>
      <w:szCs w:val="24"/>
    </w:rPr>
  </w:style>
  <w:style w:type="character" w:styleId="lev">
    <w:name w:val="Strong"/>
    <w:basedOn w:val="Policepardfaut"/>
    <w:uiPriority w:val="22"/>
    <w:qFormat/>
    <w:rsid w:val="00197E4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498</Words>
  <Characters>2739</Characters>
  <Application>Microsoft Office Word</Application>
  <DocSecurity>0</DocSecurity>
  <Lines>22</Lines>
  <Paragraphs>6</Paragraphs>
  <ScaleCrop>false</ScaleCrop>
  <Company/>
  <LinksUpToDate>false</LinksUpToDate>
  <CharactersWithSpaces>3231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cloclo_toto</dc:creator>
  <cp:lastModifiedBy>cloclo_toto</cp:lastModifiedBy>
  <cp:revision>2</cp:revision>
  <dcterms:created xsi:type="dcterms:W3CDTF">2019-02-22T09:04:00Z</dcterms:created>
  <dcterms:modified xsi:type="dcterms:W3CDTF">2019-02-22T09:11:00Z</dcterms:modified>
</cp:coreProperties>
</file>