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6C" w:rsidRDefault="00D476F7" w:rsidP="007C3F45">
      <w:pPr>
        <w:pStyle w:val="Citationintense"/>
      </w:pPr>
      <w:r>
        <w:t xml:space="preserve">Cimarron </w:t>
      </w:r>
      <w:r w:rsidR="00734D6C">
        <w:t>au musée d’Histoire de Nantes</w:t>
      </w:r>
      <w:r w:rsidR="00D06DFE">
        <w:t>, exposition temporaire</w:t>
      </w:r>
    </w:p>
    <w:p w:rsidR="006839B5" w:rsidRPr="00365496" w:rsidRDefault="006839B5" w:rsidP="006839B5">
      <w:pPr>
        <w:jc w:val="center"/>
        <w:rPr>
          <w:b/>
          <w:color w:val="0000FF"/>
        </w:rPr>
      </w:pPr>
      <w:r w:rsidRPr="006839B5">
        <w:rPr>
          <w:b/>
        </w:rPr>
        <w:t>1</w:t>
      </w:r>
      <w:r w:rsidRPr="006839B5">
        <w:rPr>
          <w:b/>
          <w:vertAlign w:val="superscript"/>
        </w:rPr>
        <w:t>er</w:t>
      </w:r>
      <w:r w:rsidRPr="006839B5">
        <w:rPr>
          <w:b/>
        </w:rPr>
        <w:t xml:space="preserve"> février – 14 avril</w:t>
      </w:r>
      <w:r w:rsidR="00365496" w:rsidRPr="00D95D19">
        <w:rPr>
          <w:b/>
        </w:rPr>
        <w:t xml:space="preserve"> 2019</w:t>
      </w:r>
    </w:p>
    <w:p w:rsidR="00D21D04" w:rsidRPr="00D95D19" w:rsidRDefault="00D21D04" w:rsidP="00D21D04">
      <w:pPr>
        <w:pStyle w:val="Titre1"/>
        <w:jc w:val="center"/>
        <w:rPr>
          <w:b/>
          <w:bCs/>
          <w:color w:val="00B0F0"/>
        </w:rPr>
      </w:pPr>
      <w:r w:rsidRPr="00D95D19">
        <w:rPr>
          <w:rStyle w:val="lev"/>
          <w:color w:val="00B0F0"/>
        </w:rPr>
        <w:t>Propositions d’activités pour la voie professionnelle lors d’une visite</w:t>
      </w:r>
    </w:p>
    <w:p w:rsidR="00A92D31" w:rsidRDefault="00A92D31" w:rsidP="00A92D31">
      <w:pPr>
        <w:pStyle w:val="Titre1"/>
        <w:jc w:val="both"/>
      </w:pPr>
      <w:r>
        <w:t xml:space="preserve">2de BAC PRO </w:t>
      </w:r>
    </w:p>
    <w:p w:rsidR="001433CA" w:rsidRDefault="001433CA" w:rsidP="00734D6C">
      <w:pPr>
        <w:jc w:val="both"/>
      </w:pPr>
      <w:bookmarkStart w:id="0" w:name="_GoBack"/>
      <w:bookmarkEnd w:id="0"/>
    </w:p>
    <w:p w:rsidR="00734D6C" w:rsidRPr="00734D6C" w:rsidRDefault="00734D6C" w:rsidP="00734D6C">
      <w:pPr>
        <w:jc w:val="both"/>
        <w:rPr>
          <w:rStyle w:val="Emphaseintense"/>
        </w:rPr>
      </w:pPr>
      <w:r w:rsidRPr="00734D6C">
        <w:rPr>
          <w:rStyle w:val="Emphaseintense"/>
        </w:rPr>
        <w:t>Expo</w:t>
      </w:r>
      <w:r w:rsidR="008D141F">
        <w:rPr>
          <w:rStyle w:val="Emphaseintense"/>
        </w:rPr>
        <w:t>sition temporaire (bâtiment du H</w:t>
      </w:r>
      <w:r w:rsidRPr="00734D6C">
        <w:rPr>
          <w:rStyle w:val="Emphaseintense"/>
        </w:rPr>
        <w:t>arnachement).</w:t>
      </w:r>
    </w:p>
    <w:p w:rsidR="00734D6C" w:rsidRDefault="00734D6C" w:rsidP="00734D6C">
      <w:pPr>
        <w:jc w:val="both"/>
      </w:pPr>
    </w:p>
    <w:p w:rsidR="005D1804" w:rsidRPr="00734D6C" w:rsidRDefault="005D1804" w:rsidP="005D1804">
      <w:pPr>
        <w:jc w:val="both"/>
        <w:rPr>
          <w:b/>
        </w:rPr>
      </w:pPr>
      <w:r>
        <w:rPr>
          <w:b/>
        </w:rPr>
        <w:t xml:space="preserve">Français / Histoire </w:t>
      </w:r>
      <w:r w:rsidRPr="00734D6C">
        <w:rPr>
          <w:b/>
        </w:rPr>
        <w:t xml:space="preserve"> </w:t>
      </w:r>
    </w:p>
    <w:p w:rsidR="005D1804" w:rsidRDefault="005D1804" w:rsidP="00734D6C">
      <w:pPr>
        <w:jc w:val="both"/>
        <w:rPr>
          <w:b/>
        </w:rPr>
      </w:pPr>
    </w:p>
    <w:p w:rsidR="00734D6C" w:rsidRPr="00734D6C" w:rsidRDefault="001433CA" w:rsidP="00734D6C">
      <w:pPr>
        <w:jc w:val="both"/>
        <w:rPr>
          <w:b/>
        </w:rPr>
      </w:pPr>
      <w:r>
        <w:rPr>
          <w:b/>
        </w:rPr>
        <w:t xml:space="preserve">Histoire </w:t>
      </w:r>
      <w:r w:rsidR="00734D6C" w:rsidRPr="00734D6C">
        <w:rPr>
          <w:b/>
        </w:rPr>
        <w:t xml:space="preserve"> </w:t>
      </w:r>
    </w:p>
    <w:p w:rsidR="001433CA" w:rsidRDefault="001433CA" w:rsidP="00734D6C">
      <w:pPr>
        <w:jc w:val="both"/>
      </w:pPr>
    </w:p>
    <w:tbl>
      <w:tblPr>
        <w:tblW w:w="1080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2"/>
        <w:gridCol w:w="2358"/>
        <w:gridCol w:w="1680"/>
        <w:gridCol w:w="5280"/>
      </w:tblGrid>
      <w:tr w:rsidR="00315E6A" w:rsidRPr="0089458F" w:rsidTr="00A953B6">
        <w:tc>
          <w:tcPr>
            <w:tcW w:w="10800" w:type="dxa"/>
            <w:gridSpan w:val="4"/>
          </w:tcPr>
          <w:p w:rsidR="00315E6A" w:rsidRPr="0089458F" w:rsidRDefault="00365496" w:rsidP="00A953B6">
            <w:pPr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 xml:space="preserve">Séquence </w:t>
            </w:r>
            <w:r w:rsidR="00315E6A" w:rsidRPr="0089458F">
              <w:rPr>
                <w:rFonts w:ascii="Arial Narrow" w:hAnsi="Arial Narrow" w:cs="Times New Roman"/>
                <w:b/>
                <w:sz w:val="22"/>
                <w:szCs w:val="22"/>
              </w:rPr>
              <w:t>3 Histoire : Le premier empire colonial français XVIe – XVIIIe siècle</w:t>
            </w:r>
          </w:p>
        </w:tc>
      </w:tr>
      <w:tr w:rsidR="00315E6A" w:rsidRPr="0089458F" w:rsidTr="00A953B6">
        <w:tc>
          <w:tcPr>
            <w:tcW w:w="1482" w:type="dxa"/>
          </w:tcPr>
          <w:p w:rsidR="00315E6A" w:rsidRPr="0089458F" w:rsidRDefault="00315E6A" w:rsidP="00A953B6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Séances</w:t>
            </w:r>
          </w:p>
        </w:tc>
        <w:tc>
          <w:tcPr>
            <w:tcW w:w="2358" w:type="dxa"/>
          </w:tcPr>
          <w:p w:rsidR="00315E6A" w:rsidRPr="00315E6A" w:rsidRDefault="00315E6A" w:rsidP="00A953B6">
            <w:pPr>
              <w:pStyle w:val="Titre4"/>
              <w:spacing w:before="0"/>
              <w:jc w:val="center"/>
              <w:rPr>
                <w:rFonts w:ascii="Arial Narrow" w:hAnsi="Arial Narrow"/>
                <w:b w:val="0"/>
                <w:i w:val="0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i w:val="0"/>
                <w:color w:val="auto"/>
                <w:sz w:val="22"/>
                <w:szCs w:val="22"/>
              </w:rPr>
              <w:t>Questionnement</w:t>
            </w:r>
          </w:p>
        </w:tc>
        <w:tc>
          <w:tcPr>
            <w:tcW w:w="1680" w:type="dxa"/>
          </w:tcPr>
          <w:p w:rsidR="00315E6A" w:rsidRPr="0089458F" w:rsidRDefault="00315E6A" w:rsidP="00A953B6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Notions</w:t>
            </w:r>
          </w:p>
        </w:tc>
        <w:tc>
          <w:tcPr>
            <w:tcW w:w="5280" w:type="dxa"/>
          </w:tcPr>
          <w:p w:rsidR="00315E6A" w:rsidRPr="0089458F" w:rsidRDefault="00315E6A" w:rsidP="00A953B6">
            <w:pPr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Capacités mises en œuvre</w:t>
            </w:r>
          </w:p>
        </w:tc>
      </w:tr>
      <w:tr w:rsidR="00315E6A" w:rsidRPr="0089458F" w:rsidTr="00A953B6">
        <w:tc>
          <w:tcPr>
            <w:tcW w:w="1482" w:type="dxa"/>
          </w:tcPr>
          <w:p w:rsidR="00315E6A" w:rsidRPr="0089458F" w:rsidRDefault="00315E6A" w:rsidP="00A953B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1- Le premier Empire colonial de la France</w:t>
            </w:r>
          </w:p>
          <w:p w:rsidR="00365496" w:rsidRDefault="00315E6A" w:rsidP="00A953B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 xml:space="preserve">Nantes et le commerce triangulaire </w:t>
            </w:r>
          </w:p>
          <w:p w:rsidR="00315E6A" w:rsidRPr="0089458F" w:rsidRDefault="00315E6A" w:rsidP="00A953B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 xml:space="preserve">Une plantation </w:t>
            </w:r>
          </w:p>
        </w:tc>
        <w:tc>
          <w:tcPr>
            <w:tcW w:w="2358" w:type="dxa"/>
          </w:tcPr>
          <w:p w:rsidR="00315E6A" w:rsidRPr="0089458F" w:rsidRDefault="00315E6A" w:rsidP="00A953B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- Comment s’organise la Traite des Noirs entre les 16</w:t>
            </w:r>
            <w:r w:rsidRPr="0089458F">
              <w:rPr>
                <w:rFonts w:ascii="Arial Narrow" w:hAnsi="Arial Narrow" w:cs="Times New Roman"/>
                <w:sz w:val="22"/>
                <w:szCs w:val="22"/>
                <w:vertAlign w:val="superscript"/>
              </w:rPr>
              <w:t>e</w:t>
            </w:r>
            <w:r w:rsidRPr="0089458F">
              <w:rPr>
                <w:rFonts w:ascii="Arial Narrow" w:hAnsi="Arial Narrow" w:cs="Times New Roman"/>
                <w:sz w:val="22"/>
                <w:szCs w:val="22"/>
              </w:rPr>
              <w:t xml:space="preserve"> et 18</w:t>
            </w:r>
            <w:r w:rsidRPr="0089458F">
              <w:rPr>
                <w:rFonts w:ascii="Arial Narrow" w:hAnsi="Arial Narrow" w:cs="Times New Roman"/>
                <w:sz w:val="22"/>
                <w:szCs w:val="22"/>
                <w:vertAlign w:val="superscript"/>
              </w:rPr>
              <w:t>e</w:t>
            </w:r>
            <w:r w:rsidRPr="0089458F">
              <w:rPr>
                <w:rFonts w:ascii="Arial Narrow" w:hAnsi="Arial Narrow" w:cs="Times New Roman"/>
                <w:sz w:val="22"/>
                <w:szCs w:val="22"/>
              </w:rPr>
              <w:t xml:space="preserve"> siècles ?</w:t>
            </w:r>
          </w:p>
          <w:p w:rsidR="00315E6A" w:rsidRPr="0089458F" w:rsidRDefault="00315E6A" w:rsidP="00A953B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- Comment s’organise l’économie de plantation dans les colonies françaises  à cette même époque ?</w:t>
            </w:r>
          </w:p>
        </w:tc>
        <w:tc>
          <w:tcPr>
            <w:tcW w:w="1680" w:type="dxa"/>
          </w:tcPr>
          <w:p w:rsidR="00315E6A" w:rsidRPr="0089458F" w:rsidRDefault="00315E6A" w:rsidP="00A953B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Commerce exclusif</w:t>
            </w:r>
          </w:p>
          <w:p w:rsidR="00315E6A" w:rsidRPr="0089458F" w:rsidRDefault="00315E6A" w:rsidP="00A953B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Traite</w:t>
            </w:r>
          </w:p>
          <w:p w:rsidR="00315E6A" w:rsidRPr="0089458F" w:rsidRDefault="00315E6A" w:rsidP="00A953B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Esclavage</w:t>
            </w:r>
          </w:p>
          <w:p w:rsidR="00315E6A" w:rsidRPr="0089458F" w:rsidRDefault="00315E6A" w:rsidP="00A953B6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Plantation</w:t>
            </w:r>
          </w:p>
        </w:tc>
        <w:tc>
          <w:tcPr>
            <w:tcW w:w="5280" w:type="dxa"/>
          </w:tcPr>
          <w:p w:rsidR="00315E6A" w:rsidRPr="0089458F" w:rsidRDefault="00315E6A" w:rsidP="00A953B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ialMT"/>
                <w:color w:val="000000"/>
                <w:sz w:val="22"/>
                <w:szCs w:val="22"/>
              </w:rPr>
            </w:pPr>
            <w:r w:rsidRPr="0089458F">
              <w:rPr>
                <w:rFonts w:ascii="Arial Narrow" w:hAnsi="Arial Narrow" w:cs="ialMT"/>
                <w:color w:val="000000"/>
                <w:sz w:val="22"/>
                <w:szCs w:val="22"/>
              </w:rPr>
              <w:t>Relever, classer et hiérarchiser les informations contenues dans le document selon des critères donnés</w:t>
            </w:r>
          </w:p>
          <w:p w:rsidR="00315E6A" w:rsidRPr="0089458F" w:rsidRDefault="00315E6A" w:rsidP="00A953B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ialMT"/>
                <w:color w:val="000000"/>
                <w:sz w:val="22"/>
                <w:szCs w:val="22"/>
              </w:rPr>
            </w:pPr>
            <w:r w:rsidRPr="0089458F">
              <w:rPr>
                <w:rFonts w:ascii="Arial Narrow" w:hAnsi="Arial Narrow" w:cs="ialMT"/>
                <w:color w:val="000000"/>
                <w:sz w:val="22"/>
                <w:szCs w:val="22"/>
              </w:rPr>
              <w:t>Identifier la nature, l’auteur et les informations accompagnant le document</w:t>
            </w:r>
          </w:p>
          <w:p w:rsidR="00315E6A" w:rsidRPr="0089458F" w:rsidRDefault="00315E6A" w:rsidP="00A953B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ialMT"/>
                <w:color w:val="000000"/>
                <w:sz w:val="22"/>
                <w:szCs w:val="22"/>
              </w:rPr>
            </w:pPr>
            <w:r w:rsidRPr="0089458F">
              <w:rPr>
                <w:rFonts w:ascii="Arial Narrow" w:hAnsi="Arial Narrow" w:cs="ialMT"/>
                <w:color w:val="000000"/>
                <w:sz w:val="22"/>
                <w:szCs w:val="22"/>
              </w:rPr>
              <w:t>Relever les informations essentielles contenues dans le document et les mettre en relation avec ses connaissances</w:t>
            </w:r>
          </w:p>
          <w:p w:rsidR="00315E6A" w:rsidRPr="0089458F" w:rsidRDefault="00315E6A" w:rsidP="00A953B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ialMT"/>
                <w:color w:val="000000"/>
                <w:sz w:val="22"/>
                <w:szCs w:val="22"/>
              </w:rPr>
            </w:pPr>
            <w:r w:rsidRPr="0089458F">
              <w:rPr>
                <w:rFonts w:ascii="Arial Narrow" w:hAnsi="Arial Narrow" w:cs="ialMT"/>
                <w:color w:val="000000"/>
                <w:sz w:val="22"/>
                <w:szCs w:val="22"/>
              </w:rPr>
              <w:t>Dégager l’intérêt et les limites du document</w:t>
            </w:r>
          </w:p>
          <w:p w:rsidR="00315E6A" w:rsidRPr="0089458F" w:rsidRDefault="00315E6A" w:rsidP="00A953B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ialMT"/>
                <w:color w:val="000000"/>
                <w:sz w:val="22"/>
                <w:szCs w:val="22"/>
              </w:rPr>
            </w:pPr>
            <w:r w:rsidRPr="0089458F">
              <w:rPr>
                <w:rFonts w:ascii="Arial Narrow" w:hAnsi="Arial Narrow" w:cs="ialMT"/>
                <w:color w:val="000000"/>
                <w:sz w:val="22"/>
                <w:szCs w:val="22"/>
              </w:rPr>
              <w:t xml:space="preserve">Résumer à l’écrit ou à l’oral l’idée essentielle d’un document </w:t>
            </w:r>
          </w:p>
        </w:tc>
      </w:tr>
    </w:tbl>
    <w:p w:rsidR="00315E6A" w:rsidRDefault="00315E6A" w:rsidP="00734D6C">
      <w:pPr>
        <w:jc w:val="both"/>
      </w:pPr>
    </w:p>
    <w:p w:rsidR="00734D6C" w:rsidRDefault="001433CA" w:rsidP="00734D6C">
      <w:pPr>
        <w:jc w:val="both"/>
      </w:pPr>
      <w:r>
        <w:t>Le parcours en autonomie de l’exposition a pour objectif d’aider à la</w:t>
      </w:r>
      <w:r w:rsidR="00734D6C">
        <w:t xml:space="preserve"> </w:t>
      </w:r>
      <w:proofErr w:type="spellStart"/>
      <w:r w:rsidR="00734D6C">
        <w:t>contextualisation</w:t>
      </w:r>
      <w:proofErr w:type="spellEnd"/>
      <w:r w:rsidR="00734D6C">
        <w:t xml:space="preserve"> </w:t>
      </w:r>
      <w:r>
        <w:t>du sujet d’étude « Le premier Empire colonial français ».</w:t>
      </w:r>
    </w:p>
    <w:p w:rsidR="001433CA" w:rsidRDefault="001433CA" w:rsidP="00734D6C">
      <w:pPr>
        <w:jc w:val="both"/>
      </w:pPr>
      <w:r>
        <w:t>Il s’agit pour les élèves mis en groupe</w:t>
      </w:r>
      <w:r w:rsidR="009F19EF">
        <w:t>s</w:t>
      </w:r>
      <w:r>
        <w:t xml:space="preserve"> de trouver des informations en lien avec : </w:t>
      </w:r>
    </w:p>
    <w:p w:rsidR="001433CA" w:rsidRDefault="001433CA" w:rsidP="001433CA">
      <w:pPr>
        <w:pStyle w:val="Paragraphedeliste"/>
        <w:numPr>
          <w:ilvl w:val="0"/>
          <w:numId w:val="1"/>
        </w:numPr>
        <w:jc w:val="both"/>
      </w:pPr>
      <w:r>
        <w:t>La Traite sur les côtes africaines (2 groupes de 4 élèves)</w:t>
      </w:r>
    </w:p>
    <w:p w:rsidR="001433CA" w:rsidRDefault="001433CA" w:rsidP="001433CA">
      <w:pPr>
        <w:pStyle w:val="Paragraphedeliste"/>
        <w:numPr>
          <w:ilvl w:val="0"/>
          <w:numId w:val="1"/>
        </w:numPr>
        <w:jc w:val="both"/>
      </w:pPr>
      <w:r>
        <w:t>Les plantations et le marronnage (2 groupes de 4 élèves)</w:t>
      </w:r>
    </w:p>
    <w:p w:rsidR="001433CA" w:rsidRDefault="001433CA" w:rsidP="001433CA">
      <w:pPr>
        <w:pStyle w:val="Paragraphedeliste"/>
        <w:numPr>
          <w:ilvl w:val="0"/>
          <w:numId w:val="1"/>
        </w:numPr>
        <w:jc w:val="both"/>
      </w:pPr>
      <w:r>
        <w:t>Les luttes et les abolitions de l’esclavage (2 groupes de 4 élèves)</w:t>
      </w:r>
    </w:p>
    <w:p w:rsidR="00A77DE5" w:rsidRDefault="00A77DE5" w:rsidP="00A77DE5">
      <w:pPr>
        <w:jc w:val="both"/>
      </w:pPr>
    </w:p>
    <w:p w:rsidR="00A77DE5" w:rsidRDefault="00A77DE5" w:rsidP="00A77DE5">
      <w:pPr>
        <w:jc w:val="both"/>
      </w:pPr>
      <w:r>
        <w:t>Exemples de supports envisageables :</w:t>
      </w:r>
    </w:p>
    <w:p w:rsidR="001433CA" w:rsidRDefault="001433CA" w:rsidP="001433CA">
      <w:pPr>
        <w:jc w:val="both"/>
      </w:pPr>
    </w:p>
    <w:tbl>
      <w:tblPr>
        <w:tblStyle w:val="Grilledutableau"/>
        <w:tblW w:w="0" w:type="auto"/>
        <w:tblLook w:val="04A0"/>
      </w:tblPr>
      <w:tblGrid>
        <w:gridCol w:w="2689"/>
        <w:gridCol w:w="7761"/>
      </w:tblGrid>
      <w:tr w:rsidR="00A77DE5" w:rsidTr="00A77DE5">
        <w:tc>
          <w:tcPr>
            <w:tcW w:w="2689" w:type="dxa"/>
          </w:tcPr>
          <w:p w:rsidR="00A77DE5" w:rsidRDefault="00A77DE5" w:rsidP="00A77DE5">
            <w:pPr>
              <w:jc w:val="center"/>
            </w:pPr>
            <w:r>
              <w:t>Titres des photographies</w:t>
            </w:r>
          </w:p>
        </w:tc>
        <w:tc>
          <w:tcPr>
            <w:tcW w:w="7761" w:type="dxa"/>
          </w:tcPr>
          <w:p w:rsidR="00A77DE5" w:rsidRDefault="00A77DE5" w:rsidP="00D95D19">
            <w:pPr>
              <w:jc w:val="center"/>
            </w:pPr>
            <w:r>
              <w:t>Informations sur la traite sur les côtes africaines</w:t>
            </w:r>
          </w:p>
        </w:tc>
      </w:tr>
      <w:tr w:rsidR="00A77DE5" w:rsidTr="00A77DE5">
        <w:tc>
          <w:tcPr>
            <w:tcW w:w="2689" w:type="dxa"/>
          </w:tcPr>
          <w:p w:rsidR="00A77DE5" w:rsidRDefault="00A77DE5" w:rsidP="001433CA">
            <w:pPr>
              <w:jc w:val="both"/>
            </w:pPr>
          </w:p>
        </w:tc>
        <w:tc>
          <w:tcPr>
            <w:tcW w:w="7761" w:type="dxa"/>
          </w:tcPr>
          <w:p w:rsidR="00A77DE5" w:rsidRDefault="00A77DE5" w:rsidP="001433CA">
            <w:pPr>
              <w:jc w:val="both"/>
            </w:pPr>
          </w:p>
        </w:tc>
      </w:tr>
    </w:tbl>
    <w:p w:rsidR="001433CA" w:rsidRDefault="001433CA" w:rsidP="001433CA">
      <w:pPr>
        <w:jc w:val="both"/>
      </w:pPr>
    </w:p>
    <w:tbl>
      <w:tblPr>
        <w:tblStyle w:val="Grilledutableau"/>
        <w:tblW w:w="0" w:type="auto"/>
        <w:tblLook w:val="04A0"/>
      </w:tblPr>
      <w:tblGrid>
        <w:gridCol w:w="2689"/>
        <w:gridCol w:w="7761"/>
      </w:tblGrid>
      <w:tr w:rsidR="00A77DE5" w:rsidTr="001A69D7">
        <w:tc>
          <w:tcPr>
            <w:tcW w:w="2689" w:type="dxa"/>
          </w:tcPr>
          <w:p w:rsidR="00A77DE5" w:rsidRDefault="00A77DE5" w:rsidP="001A69D7">
            <w:pPr>
              <w:jc w:val="center"/>
            </w:pPr>
            <w:r>
              <w:t>Titres des photographies</w:t>
            </w:r>
          </w:p>
        </w:tc>
        <w:tc>
          <w:tcPr>
            <w:tcW w:w="7761" w:type="dxa"/>
          </w:tcPr>
          <w:p w:rsidR="00A77DE5" w:rsidRDefault="00A77DE5" w:rsidP="00A77DE5">
            <w:pPr>
              <w:jc w:val="center"/>
            </w:pPr>
            <w:r>
              <w:t xml:space="preserve">Informations sur la vie dans les plantations et le marronnage </w:t>
            </w:r>
          </w:p>
        </w:tc>
      </w:tr>
      <w:tr w:rsidR="00A77DE5" w:rsidTr="001A69D7">
        <w:tc>
          <w:tcPr>
            <w:tcW w:w="2689" w:type="dxa"/>
          </w:tcPr>
          <w:p w:rsidR="00A77DE5" w:rsidRDefault="00A77DE5" w:rsidP="001A69D7">
            <w:pPr>
              <w:jc w:val="both"/>
            </w:pPr>
          </w:p>
        </w:tc>
        <w:tc>
          <w:tcPr>
            <w:tcW w:w="7761" w:type="dxa"/>
          </w:tcPr>
          <w:p w:rsidR="00A77DE5" w:rsidRDefault="00A77DE5" w:rsidP="001A69D7">
            <w:pPr>
              <w:jc w:val="both"/>
            </w:pPr>
          </w:p>
        </w:tc>
      </w:tr>
    </w:tbl>
    <w:p w:rsidR="00A77DE5" w:rsidRDefault="00A77DE5" w:rsidP="001433CA">
      <w:pPr>
        <w:jc w:val="both"/>
      </w:pPr>
    </w:p>
    <w:tbl>
      <w:tblPr>
        <w:tblStyle w:val="Grilledutableau"/>
        <w:tblW w:w="0" w:type="auto"/>
        <w:tblLook w:val="04A0"/>
      </w:tblPr>
      <w:tblGrid>
        <w:gridCol w:w="2689"/>
        <w:gridCol w:w="7761"/>
      </w:tblGrid>
      <w:tr w:rsidR="00A77DE5" w:rsidTr="001A69D7">
        <w:tc>
          <w:tcPr>
            <w:tcW w:w="2689" w:type="dxa"/>
          </w:tcPr>
          <w:p w:rsidR="00A77DE5" w:rsidRDefault="00A77DE5" w:rsidP="001A69D7">
            <w:pPr>
              <w:jc w:val="center"/>
            </w:pPr>
            <w:r>
              <w:t>Titres des photographies</w:t>
            </w:r>
          </w:p>
        </w:tc>
        <w:tc>
          <w:tcPr>
            <w:tcW w:w="7761" w:type="dxa"/>
          </w:tcPr>
          <w:p w:rsidR="00A77DE5" w:rsidRDefault="00A77DE5" w:rsidP="00A77DE5">
            <w:pPr>
              <w:jc w:val="center"/>
            </w:pPr>
            <w:r>
              <w:t xml:space="preserve">Informations sur les luttes et les abolitions de l’esclavage </w:t>
            </w:r>
          </w:p>
        </w:tc>
      </w:tr>
      <w:tr w:rsidR="00A77DE5" w:rsidTr="001A69D7">
        <w:tc>
          <w:tcPr>
            <w:tcW w:w="2689" w:type="dxa"/>
          </w:tcPr>
          <w:p w:rsidR="00A77DE5" w:rsidRDefault="00A77DE5" w:rsidP="001A69D7">
            <w:pPr>
              <w:jc w:val="both"/>
            </w:pPr>
          </w:p>
        </w:tc>
        <w:tc>
          <w:tcPr>
            <w:tcW w:w="7761" w:type="dxa"/>
          </w:tcPr>
          <w:p w:rsidR="00A77DE5" w:rsidRDefault="00A77DE5" w:rsidP="001A69D7">
            <w:pPr>
              <w:jc w:val="both"/>
            </w:pPr>
          </w:p>
        </w:tc>
      </w:tr>
    </w:tbl>
    <w:p w:rsidR="00A77DE5" w:rsidRDefault="00A77DE5" w:rsidP="001433CA">
      <w:pPr>
        <w:jc w:val="both"/>
      </w:pPr>
    </w:p>
    <w:p w:rsidR="00A77DE5" w:rsidRDefault="00A77DE5" w:rsidP="001433CA">
      <w:pPr>
        <w:jc w:val="both"/>
      </w:pPr>
    </w:p>
    <w:p w:rsidR="00315E6A" w:rsidRDefault="00315E6A" w:rsidP="001433CA">
      <w:pPr>
        <w:jc w:val="both"/>
      </w:pPr>
    </w:p>
    <w:p w:rsidR="00315E6A" w:rsidRDefault="00315E6A" w:rsidP="001433CA">
      <w:pPr>
        <w:jc w:val="both"/>
      </w:pPr>
    </w:p>
    <w:p w:rsidR="0024750E" w:rsidRDefault="0024750E" w:rsidP="001433CA">
      <w:pPr>
        <w:jc w:val="both"/>
      </w:pPr>
    </w:p>
    <w:p w:rsidR="008D141F" w:rsidRDefault="008D141F" w:rsidP="001433CA">
      <w:pPr>
        <w:jc w:val="both"/>
      </w:pPr>
    </w:p>
    <w:p w:rsidR="008D141F" w:rsidRDefault="008D141F" w:rsidP="001433CA">
      <w:pPr>
        <w:jc w:val="both"/>
      </w:pPr>
    </w:p>
    <w:p w:rsidR="00315E6A" w:rsidRDefault="00315E6A" w:rsidP="001433CA">
      <w:pPr>
        <w:jc w:val="both"/>
      </w:pPr>
    </w:p>
    <w:p w:rsidR="001433CA" w:rsidRDefault="001433CA" w:rsidP="001433CA">
      <w:pPr>
        <w:jc w:val="both"/>
        <w:rPr>
          <w:b/>
        </w:rPr>
      </w:pPr>
      <w:r w:rsidRPr="001433CA">
        <w:rPr>
          <w:b/>
        </w:rPr>
        <w:lastRenderedPageBreak/>
        <w:t xml:space="preserve">Français </w:t>
      </w:r>
    </w:p>
    <w:p w:rsidR="00315E6A" w:rsidRDefault="00315E6A" w:rsidP="001433CA">
      <w:pPr>
        <w:jc w:val="both"/>
        <w:rPr>
          <w:b/>
        </w:rPr>
      </w:pPr>
    </w:p>
    <w:p w:rsidR="00D64F5E" w:rsidRPr="00D64F5E" w:rsidRDefault="00D64F5E" w:rsidP="001433CA">
      <w:pPr>
        <w:jc w:val="both"/>
        <w:rPr>
          <w:rFonts w:cs="Arial"/>
          <w:b/>
          <w:bCs/>
        </w:rPr>
      </w:pPr>
      <w:r w:rsidRPr="00D64F5E">
        <w:rPr>
          <w:rFonts w:cs="Arial"/>
          <w:b/>
          <w:bCs/>
        </w:rPr>
        <w:t xml:space="preserve">Objet d’étude : </w:t>
      </w:r>
      <w:r w:rsidRPr="00D64F5E">
        <w:rPr>
          <w:b/>
        </w:rPr>
        <w:t>« Des goûts et des couleurs, discutons-en ».</w:t>
      </w:r>
    </w:p>
    <w:p w:rsidR="00315E6A" w:rsidRPr="00D64F5E" w:rsidRDefault="00D64F5E" w:rsidP="001433CA">
      <w:pPr>
        <w:jc w:val="both"/>
        <w:rPr>
          <w:b/>
        </w:rPr>
      </w:pPr>
      <w:r w:rsidRPr="00D64F5E">
        <w:rPr>
          <w:rFonts w:cs="Arial"/>
          <w:b/>
          <w:bCs/>
        </w:rPr>
        <w:t>Comment faire partager ses goûts dans une démarche de dialogue et de respect ?</w:t>
      </w:r>
    </w:p>
    <w:p w:rsidR="001433CA" w:rsidRDefault="001433CA" w:rsidP="00734D6C">
      <w:pPr>
        <w:jc w:val="both"/>
      </w:pPr>
    </w:p>
    <w:tbl>
      <w:tblPr>
        <w:tblStyle w:val="Grilledutableau"/>
        <w:tblW w:w="0" w:type="auto"/>
        <w:tblLook w:val="04A0"/>
      </w:tblPr>
      <w:tblGrid>
        <w:gridCol w:w="3533"/>
        <w:gridCol w:w="3533"/>
        <w:gridCol w:w="3534"/>
      </w:tblGrid>
      <w:tr w:rsidR="008D17E7" w:rsidTr="008D17E7">
        <w:tc>
          <w:tcPr>
            <w:tcW w:w="3533" w:type="dxa"/>
          </w:tcPr>
          <w:p w:rsidR="008D17E7" w:rsidRDefault="008D17E7" w:rsidP="008D17E7">
            <w:pPr>
              <w:jc w:val="center"/>
            </w:pPr>
            <w:r>
              <w:t>Capacités</w:t>
            </w:r>
          </w:p>
        </w:tc>
        <w:tc>
          <w:tcPr>
            <w:tcW w:w="3533" w:type="dxa"/>
          </w:tcPr>
          <w:p w:rsidR="008D17E7" w:rsidRDefault="008D17E7" w:rsidP="008D17E7">
            <w:pPr>
              <w:jc w:val="center"/>
            </w:pPr>
            <w:r>
              <w:t>Connaissances</w:t>
            </w:r>
          </w:p>
        </w:tc>
        <w:tc>
          <w:tcPr>
            <w:tcW w:w="3534" w:type="dxa"/>
          </w:tcPr>
          <w:p w:rsidR="008D17E7" w:rsidRDefault="008D17E7" w:rsidP="008D17E7">
            <w:pPr>
              <w:jc w:val="center"/>
            </w:pPr>
            <w:r>
              <w:t>Attitudes</w:t>
            </w:r>
          </w:p>
        </w:tc>
      </w:tr>
      <w:tr w:rsidR="008D17E7" w:rsidRPr="008D17E7" w:rsidTr="008D17E7">
        <w:tc>
          <w:tcPr>
            <w:tcW w:w="3533" w:type="dxa"/>
          </w:tcPr>
          <w:p w:rsidR="008D17E7" w:rsidRPr="008D17E7" w:rsidRDefault="008D17E7" w:rsidP="008D17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D17E7">
              <w:rPr>
                <w:rFonts w:cs="Times New Roman"/>
              </w:rPr>
              <w:t>Analyser et interpréter une production</w:t>
            </w:r>
            <w:r>
              <w:rPr>
                <w:rFonts w:cs="Times New Roman"/>
              </w:rPr>
              <w:t xml:space="preserve"> </w:t>
            </w:r>
            <w:r w:rsidRPr="008D17E7">
              <w:rPr>
                <w:rFonts w:cs="Times New Roman"/>
              </w:rPr>
              <w:t>artistique.</w:t>
            </w:r>
          </w:p>
          <w:p w:rsidR="008D17E7" w:rsidRPr="008D17E7" w:rsidRDefault="008D17E7" w:rsidP="008D17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D17E7">
              <w:rPr>
                <w:rFonts w:cs="Times New Roman"/>
              </w:rPr>
              <w:t>Exprimer à l’oral et à l’écrit une</w:t>
            </w:r>
          </w:p>
          <w:p w:rsidR="008D17E7" w:rsidRPr="008D17E7" w:rsidRDefault="008D17E7" w:rsidP="008D17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impression, un ressenti, une </w:t>
            </w:r>
            <w:r w:rsidRPr="008D17E7">
              <w:rPr>
                <w:rFonts w:cs="Times New Roman"/>
              </w:rPr>
              <w:t>émotion.</w:t>
            </w:r>
          </w:p>
          <w:p w:rsidR="008D17E7" w:rsidRPr="008D17E7" w:rsidRDefault="008D17E7" w:rsidP="008D17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D17E7">
              <w:rPr>
                <w:rFonts w:cs="Times New Roman"/>
              </w:rPr>
              <w:t>Construire une appréciation esthétique à</w:t>
            </w:r>
            <w:r>
              <w:rPr>
                <w:rFonts w:cs="Times New Roman"/>
              </w:rPr>
              <w:t xml:space="preserve"> </w:t>
            </w:r>
            <w:r w:rsidRPr="008D17E7">
              <w:rPr>
                <w:rFonts w:cs="Times New Roman"/>
              </w:rPr>
              <w:t>travers un échange d’opinions, en prenant en compte les goûts d’autrui.</w:t>
            </w:r>
          </w:p>
          <w:p w:rsidR="008D17E7" w:rsidRPr="008D17E7" w:rsidRDefault="008D17E7" w:rsidP="008D17E7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533" w:type="dxa"/>
          </w:tcPr>
          <w:p w:rsidR="008D17E7" w:rsidRPr="008D17E7" w:rsidRDefault="008D17E7" w:rsidP="008D17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D17E7">
              <w:rPr>
                <w:rFonts w:cs="Times New Roman"/>
              </w:rPr>
              <w:t>Lexique : beau/laid, utile/inutile,</w:t>
            </w:r>
          </w:p>
          <w:p w:rsidR="008D17E7" w:rsidRPr="008D17E7" w:rsidRDefault="008D17E7" w:rsidP="008D17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D17E7">
              <w:rPr>
                <w:rFonts w:cs="Times New Roman"/>
              </w:rPr>
              <w:t>plaisant/ennuyeux.</w:t>
            </w:r>
          </w:p>
          <w:p w:rsidR="008D17E7" w:rsidRPr="008D17E7" w:rsidRDefault="008D17E7" w:rsidP="008D17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D17E7">
              <w:rPr>
                <w:rFonts w:cs="Times New Roman"/>
              </w:rPr>
              <w:t>Lexique de la perception et de la sensibilité, de la plaisanterie et de l’humour, de l’adhésion et du</w:t>
            </w:r>
            <w:r>
              <w:rPr>
                <w:rFonts w:cs="Times New Roman"/>
              </w:rPr>
              <w:t xml:space="preserve"> </w:t>
            </w:r>
            <w:r w:rsidRPr="008D17E7">
              <w:rPr>
                <w:rFonts w:cs="Times New Roman"/>
              </w:rPr>
              <w:t>refus.</w:t>
            </w:r>
          </w:p>
          <w:p w:rsidR="008D17E7" w:rsidRPr="008D17E7" w:rsidRDefault="008D17E7" w:rsidP="008D17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D17E7">
              <w:rPr>
                <w:rFonts w:cs="Times New Roman"/>
              </w:rPr>
              <w:t>Connecteurs d’énumération.</w:t>
            </w:r>
          </w:p>
          <w:p w:rsidR="008D17E7" w:rsidRPr="008D17E7" w:rsidRDefault="008D17E7" w:rsidP="008D17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D17E7">
              <w:rPr>
                <w:rFonts w:cs="Times New Roman"/>
              </w:rPr>
              <w:t>Connecteurs qui introduisent l’analogie, la ressemblance.</w:t>
            </w:r>
          </w:p>
          <w:p w:rsidR="008D17E7" w:rsidRPr="008D17E7" w:rsidRDefault="008D17E7" w:rsidP="008D17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D17E7">
              <w:rPr>
                <w:rFonts w:cs="Times New Roman"/>
              </w:rPr>
              <w:t>Modalisation : termes péjoratifs et mélioratifs.</w:t>
            </w:r>
          </w:p>
          <w:p w:rsidR="008D17E7" w:rsidRPr="008D17E7" w:rsidRDefault="008D17E7" w:rsidP="008D17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D17E7">
              <w:rPr>
                <w:rFonts w:cs="Times New Roman"/>
              </w:rPr>
              <w:t xml:space="preserve">Thématiques : « Arts, sociétés, cultures », « Arts, </w:t>
            </w:r>
            <w:r>
              <w:rPr>
                <w:rFonts w:cs="Times New Roman"/>
              </w:rPr>
              <w:t xml:space="preserve">goûts, </w:t>
            </w:r>
            <w:r w:rsidRPr="008D17E7">
              <w:rPr>
                <w:rFonts w:cs="Times New Roman"/>
              </w:rPr>
              <w:t>esthétiques ».</w:t>
            </w:r>
          </w:p>
        </w:tc>
        <w:tc>
          <w:tcPr>
            <w:tcW w:w="3534" w:type="dxa"/>
          </w:tcPr>
          <w:p w:rsidR="008D17E7" w:rsidRPr="008D17E7" w:rsidRDefault="008D17E7" w:rsidP="008D17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D17E7">
              <w:rPr>
                <w:rFonts w:cs="Times New Roman"/>
              </w:rPr>
              <w:t>Être conscient de la subjectivité de ses goûts.</w:t>
            </w:r>
          </w:p>
          <w:p w:rsidR="008D17E7" w:rsidRPr="008D17E7" w:rsidRDefault="008D17E7" w:rsidP="008D17E7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8D17E7">
              <w:rPr>
                <w:rFonts w:cs="Times New Roman"/>
              </w:rPr>
              <w:t>Être curieux de différents langages artistiques.</w:t>
            </w:r>
          </w:p>
        </w:tc>
      </w:tr>
    </w:tbl>
    <w:p w:rsidR="008D17E7" w:rsidRDefault="008D17E7" w:rsidP="00734D6C">
      <w:pPr>
        <w:jc w:val="both"/>
      </w:pPr>
    </w:p>
    <w:p w:rsidR="00CF53B6" w:rsidRPr="00D95D19" w:rsidRDefault="00734D6C" w:rsidP="00734D6C">
      <w:pPr>
        <w:jc w:val="both"/>
      </w:pPr>
      <w:r w:rsidRPr="00D95D19">
        <w:t xml:space="preserve">L’exposition des photographies de l’artiste Charles </w:t>
      </w:r>
      <w:proofErr w:type="spellStart"/>
      <w:r w:rsidRPr="00D95D19">
        <w:t>Fréger</w:t>
      </w:r>
      <w:proofErr w:type="spellEnd"/>
      <w:r w:rsidRPr="00D95D19">
        <w:t xml:space="preserve"> offrent l’occasion de travailler autour de l’objet d’étude « Des goûts et des couleurs, discutons-en ». </w:t>
      </w:r>
    </w:p>
    <w:p w:rsidR="00F23735" w:rsidRPr="00D95D19" w:rsidRDefault="00F23735" w:rsidP="00734D6C">
      <w:pPr>
        <w:jc w:val="both"/>
      </w:pPr>
    </w:p>
    <w:p w:rsidR="00734D6C" w:rsidRPr="00D95D19" w:rsidRDefault="00734D6C" w:rsidP="00734D6C">
      <w:pPr>
        <w:jc w:val="both"/>
      </w:pPr>
      <w:r w:rsidRPr="00D95D19">
        <w:t>Il s’</w:t>
      </w:r>
      <w:r w:rsidR="001433CA" w:rsidRPr="00D95D19">
        <w:t xml:space="preserve">agit </w:t>
      </w:r>
      <w:r w:rsidR="00724266" w:rsidRPr="00D95D19">
        <w:t>ici d’aborder l’exposition dans une approche sensible où les élèves, au cours de leur visite,</w:t>
      </w:r>
      <w:r w:rsidR="001433CA" w:rsidRPr="00D95D19">
        <w:t xml:space="preserve"> prennent en photo </w:t>
      </w:r>
      <w:r w:rsidR="00365496" w:rsidRPr="00D95D19">
        <w:t xml:space="preserve">les </w:t>
      </w:r>
      <w:r w:rsidR="001433CA" w:rsidRPr="00D95D19">
        <w:t>3</w:t>
      </w:r>
      <w:r w:rsidR="00365496" w:rsidRPr="00D95D19">
        <w:t xml:space="preserve"> clichés</w:t>
      </w:r>
      <w:r w:rsidR="001433CA" w:rsidRPr="00D95D19">
        <w:t xml:space="preserve"> </w:t>
      </w:r>
      <w:r w:rsidR="00724266" w:rsidRPr="00D95D19">
        <w:t>qu’ils préfèrent et</w:t>
      </w:r>
      <w:r w:rsidRPr="00D95D19">
        <w:t xml:space="preserve"> </w:t>
      </w:r>
      <w:r w:rsidR="00365496" w:rsidRPr="00D95D19">
        <w:t xml:space="preserve">les </w:t>
      </w:r>
      <w:r w:rsidRPr="00D95D19">
        <w:t xml:space="preserve">3 qu’ils apprécient le moins. </w:t>
      </w:r>
    </w:p>
    <w:p w:rsidR="00724266" w:rsidRPr="00D95D19" w:rsidRDefault="00724266" w:rsidP="00734D6C">
      <w:pPr>
        <w:jc w:val="both"/>
      </w:pPr>
    </w:p>
    <w:p w:rsidR="001433CA" w:rsidRPr="00D95D19" w:rsidRDefault="001433CA" w:rsidP="00734D6C">
      <w:pPr>
        <w:jc w:val="both"/>
      </w:pPr>
      <w:r w:rsidRPr="00D95D19">
        <w:t xml:space="preserve">De retour en classe, </w:t>
      </w:r>
      <w:r w:rsidR="00365496" w:rsidRPr="00D95D19">
        <w:t xml:space="preserve">les élèves expriment à l’écrit puis à l’oral leurs sentiments et leurs goûts vis-à-vis des photographies prises lors de la visite. </w:t>
      </w:r>
    </w:p>
    <w:p w:rsidR="00C516E8" w:rsidRPr="00D95D19" w:rsidRDefault="00C516E8" w:rsidP="00734D6C">
      <w:pPr>
        <w:jc w:val="both"/>
      </w:pPr>
      <w:r w:rsidRPr="00D95D19">
        <w:t>Par exemple, un prem</w:t>
      </w:r>
      <w:r w:rsidR="00724266" w:rsidRPr="00D95D19">
        <w:t xml:space="preserve">ier temps individuel </w:t>
      </w:r>
      <w:r w:rsidR="00365496" w:rsidRPr="00D95D19">
        <w:t xml:space="preserve">leur </w:t>
      </w:r>
      <w:r w:rsidR="00724266" w:rsidRPr="00D95D19">
        <w:t>permet</w:t>
      </w:r>
      <w:r w:rsidRPr="00D95D19">
        <w:t xml:space="preserve"> de choisir parmi celles qu’ils ont prises, la photographie qu’</w:t>
      </w:r>
      <w:r w:rsidR="00724266" w:rsidRPr="00D95D19">
        <w:t>ils o</w:t>
      </w:r>
      <w:r w:rsidRPr="00D95D19">
        <w:t>nt envie</w:t>
      </w:r>
      <w:r w:rsidR="008D141F" w:rsidRPr="00D95D19">
        <w:t xml:space="preserve"> </w:t>
      </w:r>
      <w:r w:rsidRPr="00D95D19">
        <w:t>de défendre puis d’</w:t>
      </w:r>
      <w:r w:rsidR="00724266" w:rsidRPr="00D95D19">
        <w:t>exprimer leurs avis</w:t>
      </w:r>
      <w:r w:rsidRPr="00D95D19">
        <w:t xml:space="preserve"> en réinvestissant les procédés d’écriture vus dans les séquences précédentes. </w:t>
      </w:r>
      <w:r w:rsidR="00724266" w:rsidRPr="00D95D19">
        <w:t>Ils développent parallèlement des arguments</w:t>
      </w:r>
      <w:r w:rsidR="00D22184" w:rsidRPr="00D95D19">
        <w:t xml:space="preserve"> qui expriment leur rejet </w:t>
      </w:r>
      <w:r w:rsidR="00724266" w:rsidRPr="00D95D19">
        <w:t xml:space="preserve">de la photo qu’ils ont le moins appréciée. </w:t>
      </w:r>
    </w:p>
    <w:p w:rsidR="00C516E8" w:rsidRPr="00D95D19" w:rsidRDefault="00C516E8" w:rsidP="00734D6C">
      <w:pPr>
        <w:jc w:val="both"/>
      </w:pPr>
      <w:r w:rsidRPr="00D95D19">
        <w:t>Dans un second temps, en groupe de 4,</w:t>
      </w:r>
      <w:r w:rsidR="00D22184" w:rsidRPr="00D95D19">
        <w:t xml:space="preserve"> en utilisant leurs traces écrites,</w:t>
      </w:r>
      <w:r w:rsidRPr="00D95D19">
        <w:t xml:space="preserve"> les élèves exposent leurs choix, les confrontent et les questionnent à l’oral. (Une fiche d’expression de ses goûts et de réception des goû</w:t>
      </w:r>
      <w:r w:rsidR="00724266" w:rsidRPr="00D95D19">
        <w:t xml:space="preserve">ts des autres </w:t>
      </w:r>
      <w:r w:rsidR="008D141F" w:rsidRPr="00D95D19">
        <w:t>peut étayer et servir</w:t>
      </w:r>
      <w:r w:rsidRPr="00D95D19">
        <w:t xml:space="preserve"> de trace écrite).</w:t>
      </w:r>
    </w:p>
    <w:p w:rsidR="00C516E8" w:rsidRPr="00D95D19" w:rsidRDefault="00C516E8" w:rsidP="00734D6C">
      <w:pPr>
        <w:jc w:val="both"/>
      </w:pPr>
      <w:r w:rsidRPr="00D95D19">
        <w:t>Un dernier temps peut ê</w:t>
      </w:r>
      <w:r w:rsidR="005D1804" w:rsidRPr="00D95D19">
        <w:t xml:space="preserve">tre consacré à une mise en commun des goûts des élèves </w:t>
      </w:r>
      <w:r w:rsidR="001A772B" w:rsidRPr="00D95D19">
        <w:t xml:space="preserve">de la classe </w:t>
      </w:r>
      <w:r w:rsidR="005D1804" w:rsidRPr="00D95D19">
        <w:t>mais cette fois-ci</w:t>
      </w:r>
      <w:r w:rsidRPr="00D95D19">
        <w:t xml:space="preserve"> selon des thématiques communes (l’évocation du marronnage, la mémoire des abolitions,</w:t>
      </w:r>
      <w:r w:rsidR="005D1804" w:rsidRPr="00D95D19">
        <w:t xml:space="preserve"> </w:t>
      </w:r>
      <w:r w:rsidRPr="00D95D19">
        <w:t>…</w:t>
      </w:r>
      <w:r w:rsidR="005D1804" w:rsidRPr="00D95D19">
        <w:t xml:space="preserve">) éventuellement </w:t>
      </w:r>
      <w:r w:rsidRPr="00D95D19">
        <w:t>sur un support numérique (</w:t>
      </w:r>
      <w:proofErr w:type="spellStart"/>
      <w:r w:rsidRPr="00D95D19">
        <w:t>prezzi</w:t>
      </w:r>
      <w:proofErr w:type="spellEnd"/>
      <w:r w:rsidRPr="00D95D19">
        <w:t>, diaporama, …).</w:t>
      </w:r>
    </w:p>
    <w:p w:rsidR="005D1804" w:rsidRPr="00D95D19" w:rsidRDefault="005D1804" w:rsidP="00734D6C">
      <w:pPr>
        <w:jc w:val="both"/>
      </w:pPr>
    </w:p>
    <w:p w:rsidR="008D141F" w:rsidRDefault="008D141F" w:rsidP="00734D6C">
      <w:pPr>
        <w:jc w:val="both"/>
      </w:pPr>
    </w:p>
    <w:p w:rsidR="00E933FD" w:rsidRPr="00E933FD" w:rsidRDefault="00E933FD" w:rsidP="00E933FD">
      <w:pPr>
        <w:jc w:val="right"/>
        <w:rPr>
          <w:i/>
          <w:color w:val="0070C0"/>
          <w:sz w:val="20"/>
          <w:szCs w:val="20"/>
        </w:rPr>
      </w:pPr>
      <w:r w:rsidRPr="00E933FD">
        <w:rPr>
          <w:i/>
          <w:color w:val="0070C0"/>
          <w:sz w:val="20"/>
          <w:szCs w:val="20"/>
        </w:rPr>
        <w:t xml:space="preserve">Stanislas Guillet, PLP Lettres Histoire-Géographie, Lycée Monge La </w:t>
      </w:r>
      <w:proofErr w:type="spellStart"/>
      <w:r w:rsidRPr="00E933FD">
        <w:rPr>
          <w:i/>
          <w:color w:val="0070C0"/>
          <w:sz w:val="20"/>
          <w:szCs w:val="20"/>
        </w:rPr>
        <w:t>Chauvinière</w:t>
      </w:r>
      <w:proofErr w:type="spellEnd"/>
      <w:r w:rsidRPr="00E933FD">
        <w:rPr>
          <w:i/>
          <w:color w:val="0070C0"/>
          <w:sz w:val="20"/>
          <w:szCs w:val="20"/>
        </w:rPr>
        <w:t xml:space="preserve">, </w:t>
      </w:r>
    </w:p>
    <w:p w:rsidR="00E933FD" w:rsidRPr="00E933FD" w:rsidRDefault="00E933FD" w:rsidP="00E933FD">
      <w:pPr>
        <w:jc w:val="right"/>
        <w:rPr>
          <w:i/>
          <w:color w:val="0070C0"/>
          <w:sz w:val="20"/>
          <w:szCs w:val="20"/>
        </w:rPr>
      </w:pPr>
      <w:r w:rsidRPr="00E933FD">
        <w:rPr>
          <w:i/>
          <w:color w:val="0070C0"/>
          <w:sz w:val="20"/>
          <w:szCs w:val="20"/>
        </w:rPr>
        <w:t xml:space="preserve">Chargé de mission à la DAAC auprès du musée d’Histoire de Nantes, Château des Ducs de Bretagne. </w:t>
      </w:r>
    </w:p>
    <w:sectPr w:rsidR="00E933FD" w:rsidRPr="00E933FD" w:rsidSect="0024750E">
      <w:footerReference w:type="even" r:id="rId8"/>
      <w:footerReference w:type="default" r:id="rId9"/>
      <w:pgSz w:w="11900" w:h="16840"/>
      <w:pgMar w:top="360" w:right="720" w:bottom="53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97B" w:rsidRDefault="005C397B" w:rsidP="001433CA">
      <w:r>
        <w:separator/>
      </w:r>
    </w:p>
  </w:endnote>
  <w:endnote w:type="continuationSeparator" w:id="0">
    <w:p w:rsidR="005C397B" w:rsidRDefault="005C397B" w:rsidP="0014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alMT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CA" w:rsidRDefault="006F110C" w:rsidP="00FD787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433C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1433CA" w:rsidRDefault="001433CA" w:rsidP="001433CA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CA" w:rsidRDefault="006F110C" w:rsidP="00FD787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433C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805F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1433CA" w:rsidRDefault="001433CA" w:rsidP="001433CA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97B" w:rsidRDefault="005C397B" w:rsidP="001433CA">
      <w:r>
        <w:separator/>
      </w:r>
    </w:p>
  </w:footnote>
  <w:footnote w:type="continuationSeparator" w:id="0">
    <w:p w:rsidR="005C397B" w:rsidRDefault="005C397B" w:rsidP="0014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C1589"/>
    <w:multiLevelType w:val="hybridMultilevel"/>
    <w:tmpl w:val="8176022A"/>
    <w:lvl w:ilvl="0" w:tplc="18920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735"/>
    <w:rsid w:val="00057AA0"/>
    <w:rsid w:val="000773C0"/>
    <w:rsid w:val="000E576B"/>
    <w:rsid w:val="001433CA"/>
    <w:rsid w:val="00155A08"/>
    <w:rsid w:val="00161B42"/>
    <w:rsid w:val="00197789"/>
    <w:rsid w:val="001A772B"/>
    <w:rsid w:val="001F4F15"/>
    <w:rsid w:val="001F56D3"/>
    <w:rsid w:val="0024750E"/>
    <w:rsid w:val="00290765"/>
    <w:rsid w:val="002C31EE"/>
    <w:rsid w:val="002C7297"/>
    <w:rsid w:val="00315E6A"/>
    <w:rsid w:val="0033421C"/>
    <w:rsid w:val="00365496"/>
    <w:rsid w:val="003B7F5F"/>
    <w:rsid w:val="003D4551"/>
    <w:rsid w:val="003E5A35"/>
    <w:rsid w:val="004E4FC8"/>
    <w:rsid w:val="005738B8"/>
    <w:rsid w:val="005875B7"/>
    <w:rsid w:val="005A390B"/>
    <w:rsid w:val="005B5102"/>
    <w:rsid w:val="005C397B"/>
    <w:rsid w:val="005D1804"/>
    <w:rsid w:val="00646B87"/>
    <w:rsid w:val="00682F53"/>
    <w:rsid w:val="006839B5"/>
    <w:rsid w:val="006C47F5"/>
    <w:rsid w:val="006F110C"/>
    <w:rsid w:val="006F5E14"/>
    <w:rsid w:val="00707FA6"/>
    <w:rsid w:val="00721496"/>
    <w:rsid w:val="00724266"/>
    <w:rsid w:val="00731868"/>
    <w:rsid w:val="00734D6C"/>
    <w:rsid w:val="00787A3D"/>
    <w:rsid w:val="007A7E0F"/>
    <w:rsid w:val="007C3F45"/>
    <w:rsid w:val="00820F4B"/>
    <w:rsid w:val="00843DF0"/>
    <w:rsid w:val="00857CF6"/>
    <w:rsid w:val="008A6FFE"/>
    <w:rsid w:val="008D141F"/>
    <w:rsid w:val="008D17E7"/>
    <w:rsid w:val="008D2E87"/>
    <w:rsid w:val="008E3B42"/>
    <w:rsid w:val="00915E0A"/>
    <w:rsid w:val="00993A46"/>
    <w:rsid w:val="009D47FB"/>
    <w:rsid w:val="009D66CA"/>
    <w:rsid w:val="009F19EF"/>
    <w:rsid w:val="009F642D"/>
    <w:rsid w:val="00A31F0F"/>
    <w:rsid w:val="00A77DE5"/>
    <w:rsid w:val="00A92D31"/>
    <w:rsid w:val="00AA0E40"/>
    <w:rsid w:val="00AE3E76"/>
    <w:rsid w:val="00AE67E3"/>
    <w:rsid w:val="00AF7998"/>
    <w:rsid w:val="00B10DA3"/>
    <w:rsid w:val="00B536AC"/>
    <w:rsid w:val="00B768CE"/>
    <w:rsid w:val="00BE2173"/>
    <w:rsid w:val="00C516E8"/>
    <w:rsid w:val="00C96116"/>
    <w:rsid w:val="00CE727E"/>
    <w:rsid w:val="00CF53B6"/>
    <w:rsid w:val="00CF6D84"/>
    <w:rsid w:val="00D017CD"/>
    <w:rsid w:val="00D06DFE"/>
    <w:rsid w:val="00D21D04"/>
    <w:rsid w:val="00D22184"/>
    <w:rsid w:val="00D3625D"/>
    <w:rsid w:val="00D476F7"/>
    <w:rsid w:val="00D625B1"/>
    <w:rsid w:val="00D64F5E"/>
    <w:rsid w:val="00D8360E"/>
    <w:rsid w:val="00D95D19"/>
    <w:rsid w:val="00E77C4A"/>
    <w:rsid w:val="00E933FD"/>
    <w:rsid w:val="00EB5B04"/>
    <w:rsid w:val="00F15C78"/>
    <w:rsid w:val="00F23735"/>
    <w:rsid w:val="00F3599D"/>
    <w:rsid w:val="00F40EB8"/>
    <w:rsid w:val="00F44901"/>
    <w:rsid w:val="00F805F2"/>
    <w:rsid w:val="00FA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A35"/>
  </w:style>
  <w:style w:type="paragraph" w:styleId="Titre1">
    <w:name w:val="heading 1"/>
    <w:basedOn w:val="Normal"/>
    <w:next w:val="Normal"/>
    <w:link w:val="Titre1Car"/>
    <w:uiPriority w:val="9"/>
    <w:qFormat/>
    <w:rsid w:val="00734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5E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53B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34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eintense">
    <w:name w:val="Intense Emphasis"/>
    <w:basedOn w:val="Policepardfaut"/>
    <w:uiPriority w:val="21"/>
    <w:qFormat/>
    <w:rsid w:val="00734D6C"/>
    <w:rPr>
      <w:i/>
      <w:iCs/>
      <w:color w:val="5B9BD5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4D6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4D6C"/>
    <w:rPr>
      <w:i/>
      <w:iCs/>
      <w:color w:val="5B9BD5" w:themeColor="accent1"/>
    </w:rPr>
  </w:style>
  <w:style w:type="paragraph" w:styleId="Pieddepage">
    <w:name w:val="footer"/>
    <w:basedOn w:val="Normal"/>
    <w:link w:val="PieddepageCar"/>
    <w:uiPriority w:val="99"/>
    <w:unhideWhenUsed/>
    <w:rsid w:val="001433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33CA"/>
  </w:style>
  <w:style w:type="character" w:styleId="Numrodepage">
    <w:name w:val="page number"/>
    <w:basedOn w:val="Policepardfaut"/>
    <w:uiPriority w:val="99"/>
    <w:semiHidden/>
    <w:unhideWhenUsed/>
    <w:rsid w:val="001433CA"/>
  </w:style>
  <w:style w:type="table" w:styleId="Grilledutableau">
    <w:name w:val="Table Grid"/>
    <w:basedOn w:val="TableauNormal"/>
    <w:uiPriority w:val="39"/>
    <w:rsid w:val="00A77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9F19EF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315E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En-tte">
    <w:name w:val="header"/>
    <w:basedOn w:val="Normal"/>
    <w:link w:val="En-tteCar"/>
    <w:uiPriority w:val="99"/>
    <w:semiHidden/>
    <w:unhideWhenUsed/>
    <w:rsid w:val="00E933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933FD"/>
  </w:style>
  <w:style w:type="paragraph" w:styleId="Textedebulles">
    <w:name w:val="Balloon Text"/>
    <w:basedOn w:val="Normal"/>
    <w:link w:val="TextedebullesCar"/>
    <w:uiPriority w:val="99"/>
    <w:semiHidden/>
    <w:unhideWhenUsed/>
    <w:rsid w:val="00E933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3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5D7258-3718-43D6-98EC-97E1FEA7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Propositions pour la voie professionnelle</vt:lpstr>
      <vt:lpstr/>
      <vt:lpstr>2de BAC PRO </vt:lpstr>
      <vt:lpstr>2de BAC PRO </vt:lpstr>
      <vt:lpstr>1ère BAC PRO</vt:lpstr>
      <vt:lpstr>Terminale BAC PRO </vt:lpstr>
      <vt:lpstr>« Escape Game » (tous niveaux, y compris CAP)</vt:lpstr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Stanislas Guillet</dc:creator>
  <cp:lastModifiedBy>cloclo_toto</cp:lastModifiedBy>
  <cp:revision>3</cp:revision>
  <dcterms:created xsi:type="dcterms:W3CDTF">2019-02-22T08:41:00Z</dcterms:created>
  <dcterms:modified xsi:type="dcterms:W3CDTF">2019-02-22T09:09:00Z</dcterms:modified>
</cp:coreProperties>
</file>