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21" w:rsidRDefault="00A94221" w:rsidP="00A94221">
      <w:pPr>
        <w:pStyle w:val="Citationintense"/>
      </w:pPr>
      <w:r>
        <w:t>Cimarron au musée d’Histoire de Nantes, exposition temporaire</w:t>
      </w:r>
    </w:p>
    <w:p w:rsidR="00A94221" w:rsidRPr="00365496" w:rsidRDefault="00A94221" w:rsidP="00A94221">
      <w:pPr>
        <w:jc w:val="center"/>
        <w:rPr>
          <w:b/>
          <w:color w:val="0000FF"/>
        </w:rPr>
      </w:pPr>
      <w:r w:rsidRPr="006839B5">
        <w:rPr>
          <w:b/>
        </w:rPr>
        <w:t>1</w:t>
      </w:r>
      <w:r w:rsidRPr="006839B5">
        <w:rPr>
          <w:b/>
          <w:vertAlign w:val="superscript"/>
        </w:rPr>
        <w:t>er</w:t>
      </w:r>
      <w:r w:rsidRPr="006839B5">
        <w:rPr>
          <w:b/>
        </w:rPr>
        <w:t xml:space="preserve"> février – 14 avril</w:t>
      </w:r>
      <w:r w:rsidRPr="00D95D19">
        <w:rPr>
          <w:b/>
        </w:rPr>
        <w:t xml:space="preserve"> 2019</w:t>
      </w:r>
    </w:p>
    <w:p w:rsidR="00A94221" w:rsidRPr="00D95D19" w:rsidRDefault="00A94221" w:rsidP="00A94221">
      <w:pPr>
        <w:pStyle w:val="Titre1"/>
        <w:jc w:val="center"/>
        <w:rPr>
          <w:b/>
          <w:bCs/>
          <w:color w:val="00B0F0"/>
        </w:rPr>
      </w:pPr>
      <w:r w:rsidRPr="00D95D19">
        <w:rPr>
          <w:rStyle w:val="lev"/>
          <w:color w:val="00B0F0"/>
        </w:rPr>
        <w:t>Propositions d’activités pour la voie professionnelle lors d’une visite</w:t>
      </w:r>
    </w:p>
    <w:p w:rsidR="00886346" w:rsidRDefault="00886346"/>
    <w:p w:rsidR="00A94221" w:rsidRDefault="00A94221" w:rsidP="00A94221">
      <w:pPr>
        <w:pStyle w:val="Titre1"/>
      </w:pPr>
      <w:r>
        <w:t xml:space="preserve">Terminale BAC PRO </w:t>
      </w:r>
    </w:p>
    <w:p w:rsidR="00A94221" w:rsidRDefault="00A94221" w:rsidP="00A94221">
      <w:pPr>
        <w:jc w:val="both"/>
      </w:pPr>
    </w:p>
    <w:p w:rsidR="00A94221" w:rsidRPr="00734D6C" w:rsidRDefault="00A94221" w:rsidP="00A94221">
      <w:pPr>
        <w:jc w:val="both"/>
        <w:rPr>
          <w:rStyle w:val="Emphaseintense"/>
        </w:rPr>
      </w:pPr>
      <w:r w:rsidRPr="00734D6C">
        <w:rPr>
          <w:rStyle w:val="Emphaseintense"/>
        </w:rPr>
        <w:t>Exposition temporaire (bâtiment du harnachement).</w:t>
      </w:r>
    </w:p>
    <w:p w:rsidR="00A94221" w:rsidRDefault="00A94221" w:rsidP="00A94221">
      <w:pPr>
        <w:jc w:val="both"/>
      </w:pPr>
    </w:p>
    <w:p w:rsidR="00A94221" w:rsidRDefault="00A94221" w:rsidP="00A94221">
      <w:pPr>
        <w:jc w:val="both"/>
        <w:rPr>
          <w:b/>
        </w:rPr>
      </w:pPr>
      <w:r w:rsidRPr="001433CA">
        <w:rPr>
          <w:b/>
        </w:rPr>
        <w:t>Français</w:t>
      </w:r>
      <w:r>
        <w:rPr>
          <w:b/>
        </w:rPr>
        <w:t xml:space="preserve"> / Arts Appliqués / Enseignement Professionnel </w:t>
      </w:r>
    </w:p>
    <w:p w:rsidR="00A94221" w:rsidRDefault="00A94221" w:rsidP="00A94221">
      <w:pPr>
        <w:jc w:val="both"/>
        <w:rPr>
          <w:b/>
        </w:rPr>
      </w:pPr>
    </w:p>
    <w:p w:rsidR="00A94221" w:rsidRDefault="00A94221" w:rsidP="00A94221">
      <w:pPr>
        <w:jc w:val="both"/>
        <w:rPr>
          <w:b/>
        </w:rPr>
      </w:pPr>
      <w:r w:rsidRPr="008D17E7">
        <w:rPr>
          <w:b/>
        </w:rPr>
        <w:t xml:space="preserve">Français </w:t>
      </w:r>
    </w:p>
    <w:p w:rsidR="00A94221" w:rsidRPr="0024750E" w:rsidRDefault="00A94221" w:rsidP="00A94221">
      <w:pPr>
        <w:jc w:val="both"/>
        <w:rPr>
          <w:b/>
        </w:rPr>
      </w:pPr>
      <w:r w:rsidRPr="0024750E">
        <w:rPr>
          <w:b/>
        </w:rPr>
        <w:t>Objet d’étude : « Identité, diversité »</w:t>
      </w:r>
    </w:p>
    <w:p w:rsidR="00A94221" w:rsidRPr="0024750E" w:rsidRDefault="00A94221" w:rsidP="00A94221">
      <w:pPr>
        <w:autoSpaceDE w:val="0"/>
        <w:autoSpaceDN w:val="0"/>
        <w:adjustRightInd w:val="0"/>
        <w:rPr>
          <w:rFonts w:cs="Times New Roman"/>
          <w:b/>
        </w:rPr>
      </w:pPr>
      <w:r w:rsidRPr="0024750E">
        <w:rPr>
          <w:rFonts w:cs="Times New Roman"/>
          <w:b/>
        </w:rPr>
        <w:t>- Comment transmettre son histoire, son passé, sa culture ?</w:t>
      </w:r>
    </w:p>
    <w:p w:rsidR="00A94221" w:rsidRPr="0024750E" w:rsidRDefault="00A94221" w:rsidP="00A94221">
      <w:pPr>
        <w:autoSpaceDE w:val="0"/>
        <w:autoSpaceDN w:val="0"/>
        <w:adjustRightInd w:val="0"/>
        <w:rPr>
          <w:rFonts w:cs="Times New Roman"/>
          <w:b/>
        </w:rPr>
      </w:pPr>
      <w:r w:rsidRPr="0024750E">
        <w:rPr>
          <w:rFonts w:cs="Times New Roman"/>
          <w:b/>
        </w:rPr>
        <w:t>- Doit-on renoncer aux spécificités de sa culture pour s'intégrer dans la société ?</w:t>
      </w:r>
    </w:p>
    <w:p w:rsidR="00A94221" w:rsidRPr="008D17E7" w:rsidRDefault="00A94221" w:rsidP="00A94221">
      <w:pPr>
        <w:jc w:val="both"/>
        <w:rPr>
          <w:b/>
        </w:rPr>
      </w:pPr>
    </w:p>
    <w:p w:rsidR="00A94221" w:rsidRDefault="00A94221" w:rsidP="00A94221">
      <w:pPr>
        <w:jc w:val="both"/>
      </w:pPr>
    </w:p>
    <w:tbl>
      <w:tblPr>
        <w:tblStyle w:val="Grilledutableau"/>
        <w:tblW w:w="0" w:type="auto"/>
        <w:tblLook w:val="04A0"/>
      </w:tblPr>
      <w:tblGrid>
        <w:gridCol w:w="2979"/>
        <w:gridCol w:w="3377"/>
        <w:gridCol w:w="2932"/>
      </w:tblGrid>
      <w:tr w:rsidR="00A94221" w:rsidTr="00B618BD">
        <w:tc>
          <w:tcPr>
            <w:tcW w:w="3533" w:type="dxa"/>
          </w:tcPr>
          <w:p w:rsidR="00A94221" w:rsidRDefault="00A94221" w:rsidP="00B618BD">
            <w:pPr>
              <w:jc w:val="center"/>
            </w:pPr>
            <w:r>
              <w:t>Capacités</w:t>
            </w:r>
          </w:p>
        </w:tc>
        <w:tc>
          <w:tcPr>
            <w:tcW w:w="3533" w:type="dxa"/>
          </w:tcPr>
          <w:p w:rsidR="00A94221" w:rsidRDefault="00A94221" w:rsidP="00B618BD">
            <w:pPr>
              <w:jc w:val="center"/>
            </w:pPr>
            <w:r>
              <w:t>Connaissances</w:t>
            </w:r>
          </w:p>
        </w:tc>
        <w:tc>
          <w:tcPr>
            <w:tcW w:w="3534" w:type="dxa"/>
          </w:tcPr>
          <w:p w:rsidR="00A94221" w:rsidRDefault="00A94221" w:rsidP="00B618BD">
            <w:pPr>
              <w:jc w:val="center"/>
            </w:pPr>
            <w:r>
              <w:t>Attitudes</w:t>
            </w:r>
          </w:p>
        </w:tc>
      </w:tr>
      <w:tr w:rsidR="00A94221" w:rsidRPr="0024750E" w:rsidTr="00B618BD">
        <w:tc>
          <w:tcPr>
            <w:tcW w:w="3533" w:type="dxa"/>
          </w:tcPr>
          <w:p w:rsidR="00A94221" w:rsidRPr="0024750E" w:rsidRDefault="00A94221" w:rsidP="00B618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4750E">
              <w:rPr>
                <w:rFonts w:cs="Times New Roman"/>
              </w:rPr>
              <w:t>Analyser le</w:t>
            </w:r>
            <w:r>
              <w:rPr>
                <w:rFonts w:cs="Times New Roman"/>
              </w:rPr>
              <w:t xml:space="preserve">s modalités et les enjeux de la </w:t>
            </w:r>
            <w:r w:rsidRPr="0024750E">
              <w:rPr>
                <w:rFonts w:cs="Times New Roman"/>
              </w:rPr>
              <w:t>présentat</w:t>
            </w:r>
            <w:r>
              <w:rPr>
                <w:rFonts w:cs="Times New Roman"/>
              </w:rPr>
              <w:t xml:space="preserve">ion de l'autre dans un écrit ou </w:t>
            </w:r>
            <w:r w:rsidRPr="0024750E">
              <w:rPr>
                <w:rFonts w:cs="Times New Roman"/>
              </w:rPr>
              <w:t>dans une image.</w:t>
            </w:r>
          </w:p>
          <w:p w:rsidR="00A94221" w:rsidRPr="0024750E" w:rsidRDefault="00A94221" w:rsidP="00B618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4750E">
              <w:rPr>
                <w:rFonts w:cs="Times New Roman"/>
              </w:rPr>
              <w:t>Rédiger une argumentation de type</w:t>
            </w:r>
            <w:r>
              <w:rPr>
                <w:rFonts w:cs="Times New Roman"/>
              </w:rPr>
              <w:t xml:space="preserve"> </w:t>
            </w:r>
            <w:r w:rsidRPr="0024750E">
              <w:rPr>
                <w:rFonts w:cs="Times New Roman"/>
              </w:rPr>
              <w:t>délib</w:t>
            </w:r>
            <w:r>
              <w:rPr>
                <w:rFonts w:cs="Times New Roman"/>
              </w:rPr>
              <w:t xml:space="preserve">ératif (thèse, antithèse, choix </w:t>
            </w:r>
            <w:r w:rsidRPr="0024750E">
              <w:rPr>
                <w:rFonts w:cs="Times New Roman"/>
              </w:rPr>
              <w:t>personnel).</w:t>
            </w:r>
          </w:p>
          <w:p w:rsidR="00A94221" w:rsidRPr="0024750E" w:rsidRDefault="00A94221" w:rsidP="00B618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4750E">
              <w:rPr>
                <w:rFonts w:cs="Times New Roman"/>
              </w:rPr>
              <w:t>Comprendre comment une œuvre met en</w:t>
            </w:r>
            <w:r>
              <w:rPr>
                <w:rFonts w:cs="Times New Roman"/>
              </w:rPr>
              <w:t xml:space="preserve"> </w:t>
            </w:r>
            <w:r w:rsidRPr="0024750E">
              <w:rPr>
                <w:rFonts w:cs="Times New Roman"/>
              </w:rPr>
              <w:t>tension les expériences individuelles et</w:t>
            </w:r>
          </w:p>
          <w:p w:rsidR="00A94221" w:rsidRPr="0024750E" w:rsidRDefault="00A94221" w:rsidP="00B618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4750E">
              <w:rPr>
                <w:rFonts w:cs="Times New Roman"/>
              </w:rPr>
              <w:t>les questions collectives.</w:t>
            </w:r>
          </w:p>
          <w:p w:rsidR="00A94221" w:rsidRPr="0024750E" w:rsidRDefault="00A94221" w:rsidP="00B618BD"/>
        </w:tc>
        <w:tc>
          <w:tcPr>
            <w:tcW w:w="3533" w:type="dxa"/>
          </w:tcPr>
          <w:p w:rsidR="00A94221" w:rsidRPr="0024750E" w:rsidRDefault="00A94221" w:rsidP="00B618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4750E">
              <w:rPr>
                <w:rFonts w:cs="Times New Roman"/>
                <w:i/>
                <w:iCs/>
              </w:rPr>
              <w:t xml:space="preserve">Champ linguistique </w:t>
            </w:r>
            <w:r w:rsidRPr="0024750E">
              <w:rPr>
                <w:rFonts w:cs="Times New Roman"/>
              </w:rPr>
              <w:t>:</w:t>
            </w:r>
          </w:p>
          <w:p w:rsidR="00A94221" w:rsidRPr="0024750E" w:rsidRDefault="00A94221" w:rsidP="00B618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Lexique : </w:t>
            </w:r>
            <w:r w:rsidRPr="0024750E">
              <w:rPr>
                <w:rFonts w:cs="Times New Roman"/>
              </w:rPr>
              <w:t>individuel/collectif/singulier.</w:t>
            </w:r>
          </w:p>
          <w:p w:rsidR="00A94221" w:rsidRPr="0024750E" w:rsidRDefault="00A94221" w:rsidP="00B618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4750E">
              <w:rPr>
                <w:rFonts w:cs="Times New Roman"/>
              </w:rPr>
              <w:t>Lexique du comportement, du jugement et des</w:t>
            </w:r>
            <w:r>
              <w:rPr>
                <w:rFonts w:cs="Times New Roman"/>
              </w:rPr>
              <w:t xml:space="preserve"> </w:t>
            </w:r>
            <w:r w:rsidRPr="0024750E">
              <w:rPr>
                <w:rFonts w:cs="Times New Roman"/>
              </w:rPr>
              <w:t>valeurs.</w:t>
            </w:r>
          </w:p>
          <w:p w:rsidR="00A94221" w:rsidRPr="0024750E" w:rsidRDefault="00A94221" w:rsidP="00B618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4750E">
              <w:rPr>
                <w:rFonts w:cs="Times New Roman"/>
              </w:rPr>
              <w:t>La phrase complexe.</w:t>
            </w:r>
          </w:p>
          <w:p w:rsidR="00A94221" w:rsidRPr="0024750E" w:rsidRDefault="00A94221" w:rsidP="00B618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4750E">
              <w:rPr>
                <w:rFonts w:cs="Times New Roman"/>
              </w:rPr>
              <w:t>Connecteurs d’opposition.</w:t>
            </w:r>
          </w:p>
          <w:p w:rsidR="00A94221" w:rsidRPr="0024750E" w:rsidRDefault="00A94221" w:rsidP="00B618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4750E">
              <w:rPr>
                <w:rFonts w:cs="Times New Roman"/>
              </w:rPr>
              <w:t>Procédés de la concession.</w:t>
            </w:r>
          </w:p>
          <w:p w:rsidR="00A94221" w:rsidRPr="0024750E" w:rsidRDefault="00A94221" w:rsidP="00B618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4750E">
              <w:rPr>
                <w:rFonts w:cs="Times New Roman"/>
              </w:rPr>
              <w:t>Modalisation du jugement, valeurs du « je ».</w:t>
            </w:r>
          </w:p>
          <w:p w:rsidR="00A94221" w:rsidRPr="0024750E" w:rsidRDefault="00A94221" w:rsidP="00B618BD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4750E">
              <w:rPr>
                <w:rFonts w:cs="Times New Roman"/>
                <w:i/>
                <w:iCs/>
              </w:rPr>
              <w:t>Histoire des arts :</w:t>
            </w:r>
          </w:p>
          <w:p w:rsidR="00A94221" w:rsidRPr="0024750E" w:rsidRDefault="00A94221" w:rsidP="00B618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4750E">
              <w:rPr>
                <w:rFonts w:cs="Times New Roman"/>
              </w:rPr>
              <w:t>Période : XXe siècle.</w:t>
            </w:r>
          </w:p>
          <w:p w:rsidR="00A94221" w:rsidRPr="0024750E" w:rsidRDefault="00A94221" w:rsidP="00B618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4750E">
              <w:rPr>
                <w:rFonts w:cs="Times New Roman"/>
              </w:rPr>
              <w:t>Thématiques : « Arts, sociétés, cultures », « Arts,</w:t>
            </w:r>
            <w:r>
              <w:rPr>
                <w:rFonts w:cs="Times New Roman"/>
              </w:rPr>
              <w:t xml:space="preserve"> </w:t>
            </w:r>
            <w:r w:rsidRPr="0024750E">
              <w:rPr>
                <w:rFonts w:cs="Times New Roman"/>
              </w:rPr>
              <w:t>mémoires, témoignages, engagements ».</w:t>
            </w:r>
          </w:p>
        </w:tc>
        <w:tc>
          <w:tcPr>
            <w:tcW w:w="3534" w:type="dxa"/>
          </w:tcPr>
          <w:p w:rsidR="00A94221" w:rsidRPr="0024750E" w:rsidRDefault="00A94221" w:rsidP="00B618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4750E">
              <w:rPr>
                <w:rFonts w:cs="Times New Roman"/>
              </w:rPr>
              <w:t>Exprimer les singularités de son</w:t>
            </w:r>
          </w:p>
          <w:p w:rsidR="00A94221" w:rsidRPr="0024750E" w:rsidRDefault="00A94221" w:rsidP="00B618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4750E">
              <w:rPr>
                <w:rFonts w:cs="Times New Roman"/>
              </w:rPr>
              <w:t>héritage culturel dans le respect</w:t>
            </w:r>
          </w:p>
          <w:p w:rsidR="00A94221" w:rsidRPr="0024750E" w:rsidRDefault="00A94221" w:rsidP="00B618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4750E">
              <w:rPr>
                <w:rFonts w:cs="Times New Roman"/>
              </w:rPr>
              <w:t>de l'autre et de sa culture.</w:t>
            </w:r>
          </w:p>
          <w:p w:rsidR="00A94221" w:rsidRPr="0024750E" w:rsidRDefault="00A94221" w:rsidP="00B618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4750E">
              <w:rPr>
                <w:rFonts w:cs="Times New Roman"/>
              </w:rPr>
              <w:t>Être sensible aux échos et aux</w:t>
            </w:r>
          </w:p>
          <w:p w:rsidR="00A94221" w:rsidRPr="0024750E" w:rsidRDefault="00A94221" w:rsidP="00B618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4750E">
              <w:rPr>
                <w:rFonts w:cs="Times New Roman"/>
              </w:rPr>
              <w:t>interférences entre soi et les</w:t>
            </w:r>
          </w:p>
          <w:p w:rsidR="00A94221" w:rsidRPr="0024750E" w:rsidRDefault="00A94221" w:rsidP="00B618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4750E">
              <w:rPr>
                <w:rFonts w:cs="Times New Roman"/>
              </w:rPr>
              <w:t>autres.</w:t>
            </w:r>
          </w:p>
          <w:p w:rsidR="00A94221" w:rsidRPr="0024750E" w:rsidRDefault="00A94221" w:rsidP="00B618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4750E">
              <w:rPr>
                <w:rFonts w:cs="Times New Roman"/>
              </w:rPr>
              <w:t>S’intéresser à l’expérience</w:t>
            </w:r>
            <w:r>
              <w:rPr>
                <w:rFonts w:cs="Times New Roman"/>
              </w:rPr>
              <w:t xml:space="preserve"> </w:t>
            </w:r>
            <w:r w:rsidRPr="0024750E">
              <w:rPr>
                <w:rFonts w:cs="Times New Roman"/>
              </w:rPr>
              <w:t>d’autrui comme élément de</w:t>
            </w:r>
          </w:p>
          <w:p w:rsidR="00A94221" w:rsidRPr="0024750E" w:rsidRDefault="00A94221" w:rsidP="00B618BD">
            <w:r w:rsidRPr="0024750E">
              <w:rPr>
                <w:rFonts w:cs="Times New Roman"/>
              </w:rPr>
              <w:t>l’expérience universelle.</w:t>
            </w:r>
          </w:p>
        </w:tc>
      </w:tr>
    </w:tbl>
    <w:p w:rsidR="00A94221" w:rsidRDefault="00A94221" w:rsidP="00A94221">
      <w:pPr>
        <w:jc w:val="both"/>
      </w:pPr>
    </w:p>
    <w:p w:rsidR="00A94221" w:rsidRDefault="00A94221" w:rsidP="00A94221">
      <w:pPr>
        <w:jc w:val="both"/>
      </w:pPr>
    </w:p>
    <w:p w:rsidR="00A94221" w:rsidRPr="00D95D19" w:rsidRDefault="00A94221" w:rsidP="00A94221">
      <w:pPr>
        <w:jc w:val="both"/>
      </w:pPr>
      <w:r w:rsidRPr="00D95D19">
        <w:t>L’exposition permet d’aborder l’objet d’étude « Identité, diversité » à travers notamment la question « Comment transmettre son histoire, son passé, sa culture ? ».</w:t>
      </w:r>
    </w:p>
    <w:p w:rsidR="00A94221" w:rsidRPr="00D95D19" w:rsidRDefault="00A94221" w:rsidP="00A94221">
      <w:pPr>
        <w:jc w:val="both"/>
      </w:pPr>
    </w:p>
    <w:p w:rsidR="00A94221" w:rsidRPr="00D95D19" w:rsidRDefault="00A94221" w:rsidP="00A94221">
      <w:pPr>
        <w:jc w:val="both"/>
      </w:pPr>
      <w:r w:rsidRPr="00D95D19">
        <w:t>Le parcours de l’exposition avec une classe de Terminale doit permettre tout d’abord d’illustrer les éléments étudiés précédemment en cours.</w:t>
      </w:r>
    </w:p>
    <w:p w:rsidR="00A94221" w:rsidRPr="00D95D19" w:rsidRDefault="00A94221" w:rsidP="00A94221">
      <w:pPr>
        <w:jc w:val="both"/>
      </w:pPr>
      <w:r w:rsidRPr="00D95D19">
        <w:t xml:space="preserve">Il permet ensuite de réfléchir sur la portée symbolique des mascarades ainsi pratiquées à travers cette aire géographique. </w:t>
      </w:r>
    </w:p>
    <w:p w:rsidR="00A94221" w:rsidRPr="00D95D19" w:rsidRDefault="00A94221" w:rsidP="00A94221">
      <w:pPr>
        <w:jc w:val="both"/>
      </w:pPr>
    </w:p>
    <w:p w:rsidR="00A94221" w:rsidRPr="00D95D19" w:rsidRDefault="00A94221" w:rsidP="00A94221">
      <w:pPr>
        <w:jc w:val="both"/>
      </w:pPr>
      <w:r w:rsidRPr="00D95D19">
        <w:lastRenderedPageBreak/>
        <w:t xml:space="preserve">En groupe, les élèves collectent durant leur visite des informations sur des portraits (4 groupes qui tournent selon la muséographie de l’exposition). On demandera entre 6 et 10 études de portraits. </w:t>
      </w:r>
    </w:p>
    <w:p w:rsidR="00A94221" w:rsidRPr="00D95D19" w:rsidRDefault="00A94221" w:rsidP="00A94221">
      <w:pPr>
        <w:jc w:val="both"/>
      </w:pPr>
      <w:r w:rsidRPr="00D95D19">
        <w:t>De retour en classe, en s’appuyant sur les traces écrites du musée, il va s’agir d’abord individuellement puis en groupe de tenter d’apporter des réponses à une question qui pourrait être « </w:t>
      </w:r>
      <w:r w:rsidRPr="00D95D19">
        <w:rPr>
          <w:i/>
        </w:rPr>
        <w:t>En quoi les mascarades de cette aire géographique permettent-elles de garder, de témoigner la mémoire du système esclavagiste passé et/ou du rapport à l’oppresseur ? </w:t>
      </w:r>
      <w:r w:rsidRPr="00D95D19">
        <w:t>».</w:t>
      </w:r>
    </w:p>
    <w:p w:rsidR="00A94221" w:rsidRDefault="00A94221" w:rsidP="00A94221">
      <w:pPr>
        <w:jc w:val="both"/>
      </w:pPr>
    </w:p>
    <w:tbl>
      <w:tblPr>
        <w:tblStyle w:val="Grilledutableau"/>
        <w:tblW w:w="0" w:type="auto"/>
        <w:tblLook w:val="04A0"/>
      </w:tblPr>
      <w:tblGrid>
        <w:gridCol w:w="1662"/>
        <w:gridCol w:w="7626"/>
      </w:tblGrid>
      <w:tr w:rsidR="00A94221" w:rsidTr="00B618BD">
        <w:tc>
          <w:tcPr>
            <w:tcW w:w="1788" w:type="dxa"/>
          </w:tcPr>
          <w:p w:rsidR="00A94221" w:rsidRDefault="00A94221" w:rsidP="00B618BD">
            <w:pPr>
              <w:jc w:val="center"/>
            </w:pPr>
            <w:r>
              <w:t>Portraits étudiés</w:t>
            </w:r>
          </w:p>
        </w:tc>
        <w:tc>
          <w:tcPr>
            <w:tcW w:w="8812" w:type="dxa"/>
          </w:tcPr>
          <w:p w:rsidR="00A94221" w:rsidRDefault="00A94221" w:rsidP="00B618BD">
            <w:pPr>
              <w:jc w:val="center"/>
            </w:pPr>
            <w:r>
              <w:t>Informations permettant  de répondre au questionnement : « </w:t>
            </w:r>
            <w:r w:rsidRPr="001A772B">
              <w:rPr>
                <w:i/>
              </w:rPr>
              <w:t xml:space="preserve">En quoi </w:t>
            </w:r>
            <w:r>
              <w:rPr>
                <w:i/>
              </w:rPr>
              <w:t>c</w:t>
            </w:r>
            <w:r w:rsidRPr="001A772B">
              <w:rPr>
                <w:i/>
              </w:rPr>
              <w:t xml:space="preserve">es mascarades </w:t>
            </w:r>
            <w:r>
              <w:rPr>
                <w:i/>
              </w:rPr>
              <w:t>permettent-elles de garder, de témoigner la mémoire du</w:t>
            </w:r>
            <w:r w:rsidRPr="001A772B">
              <w:rPr>
                <w:i/>
              </w:rPr>
              <w:t xml:space="preserve"> sys</w:t>
            </w:r>
            <w:r>
              <w:rPr>
                <w:i/>
              </w:rPr>
              <w:t>tème esclavagiste passé et/ou du</w:t>
            </w:r>
            <w:r w:rsidRPr="001A772B">
              <w:rPr>
                <w:i/>
              </w:rPr>
              <w:t xml:space="preserve"> rapport à l’oppresseur ? </w:t>
            </w:r>
            <w:r>
              <w:t>».</w:t>
            </w:r>
          </w:p>
        </w:tc>
      </w:tr>
      <w:tr w:rsidR="00A94221" w:rsidTr="00B618BD">
        <w:tc>
          <w:tcPr>
            <w:tcW w:w="1788" w:type="dxa"/>
          </w:tcPr>
          <w:p w:rsidR="00A94221" w:rsidRDefault="00A94221" w:rsidP="00B618BD">
            <w:pPr>
              <w:jc w:val="both"/>
            </w:pPr>
          </w:p>
        </w:tc>
        <w:tc>
          <w:tcPr>
            <w:tcW w:w="8812" w:type="dxa"/>
          </w:tcPr>
          <w:p w:rsidR="00A94221" w:rsidRDefault="00A94221" w:rsidP="00B618BD">
            <w:pPr>
              <w:jc w:val="both"/>
            </w:pPr>
          </w:p>
        </w:tc>
      </w:tr>
      <w:tr w:rsidR="00A94221" w:rsidTr="00B618BD">
        <w:tc>
          <w:tcPr>
            <w:tcW w:w="1788" w:type="dxa"/>
          </w:tcPr>
          <w:p w:rsidR="00A94221" w:rsidRDefault="00A94221" w:rsidP="00B618BD">
            <w:pPr>
              <w:jc w:val="both"/>
            </w:pPr>
          </w:p>
        </w:tc>
        <w:tc>
          <w:tcPr>
            <w:tcW w:w="8812" w:type="dxa"/>
          </w:tcPr>
          <w:p w:rsidR="00A94221" w:rsidRDefault="00A94221" w:rsidP="00B618BD">
            <w:pPr>
              <w:jc w:val="both"/>
            </w:pPr>
          </w:p>
        </w:tc>
      </w:tr>
      <w:tr w:rsidR="00A94221" w:rsidTr="00B618BD">
        <w:tc>
          <w:tcPr>
            <w:tcW w:w="1788" w:type="dxa"/>
          </w:tcPr>
          <w:p w:rsidR="00A94221" w:rsidRDefault="00A94221" w:rsidP="00B618BD">
            <w:pPr>
              <w:jc w:val="both"/>
            </w:pPr>
          </w:p>
        </w:tc>
        <w:tc>
          <w:tcPr>
            <w:tcW w:w="8812" w:type="dxa"/>
          </w:tcPr>
          <w:p w:rsidR="00A94221" w:rsidRDefault="00A94221" w:rsidP="00B618BD">
            <w:pPr>
              <w:jc w:val="both"/>
            </w:pPr>
          </w:p>
        </w:tc>
      </w:tr>
    </w:tbl>
    <w:p w:rsidR="00A94221" w:rsidRDefault="00A94221" w:rsidP="00A94221">
      <w:pPr>
        <w:jc w:val="both"/>
      </w:pPr>
      <w:r>
        <w:t>Une restitution au grand groupe doit permettre de construire une trace écrite (carte mentale personnelle…) qui servira à nourrir une argumentation autour d’un devoir type BAC sur cette thématique.</w:t>
      </w:r>
    </w:p>
    <w:p w:rsidR="00A94221" w:rsidRDefault="00A94221" w:rsidP="00A94221">
      <w:pPr>
        <w:jc w:val="both"/>
      </w:pPr>
    </w:p>
    <w:p w:rsidR="00A94221" w:rsidRPr="0024750E" w:rsidRDefault="00A94221" w:rsidP="00A94221">
      <w:pPr>
        <w:jc w:val="both"/>
        <w:rPr>
          <w:b/>
        </w:rPr>
      </w:pPr>
      <w:r w:rsidRPr="005B5102">
        <w:rPr>
          <w:b/>
        </w:rPr>
        <w:t xml:space="preserve">Arts Appliqués </w:t>
      </w:r>
      <w:r>
        <w:rPr>
          <w:b/>
        </w:rPr>
        <w:t xml:space="preserve">/ Métiers de la mode… </w:t>
      </w:r>
    </w:p>
    <w:p w:rsidR="00A94221" w:rsidRDefault="00A94221" w:rsidP="00A94221">
      <w:pPr>
        <w:jc w:val="both"/>
      </w:pPr>
    </w:p>
    <w:p w:rsidR="00A94221" w:rsidRDefault="00A94221" w:rsidP="00A94221">
      <w:pPr>
        <w:jc w:val="both"/>
        <w:rPr>
          <w:i/>
        </w:rPr>
      </w:pPr>
      <w:r>
        <w:t xml:space="preserve">Afin de dénoncer une injustice actuelle qui les touche particulièrement, à partir des images collectées, les élèves proposent leur réinterprétation d’un masque </w:t>
      </w:r>
      <w:r w:rsidRPr="00B768CE">
        <w:rPr>
          <w:i/>
        </w:rPr>
        <w:t>« à la manière de… »</w:t>
      </w:r>
      <w:r>
        <w:rPr>
          <w:i/>
        </w:rPr>
        <w:t>.</w:t>
      </w:r>
    </w:p>
    <w:p w:rsidR="00A94221" w:rsidRDefault="00A94221" w:rsidP="00A94221">
      <w:pPr>
        <w:jc w:val="both"/>
        <w:rPr>
          <w:i/>
        </w:rPr>
      </w:pPr>
    </w:p>
    <w:p w:rsidR="00F830F0" w:rsidRDefault="00F830F0" w:rsidP="00A94221">
      <w:pPr>
        <w:jc w:val="both"/>
        <w:rPr>
          <w:i/>
        </w:rPr>
      </w:pPr>
    </w:p>
    <w:p w:rsidR="00F830F0" w:rsidRPr="00E933FD" w:rsidRDefault="00F830F0" w:rsidP="00F830F0">
      <w:pPr>
        <w:jc w:val="right"/>
        <w:rPr>
          <w:i/>
          <w:color w:val="0070C0"/>
          <w:sz w:val="20"/>
          <w:szCs w:val="20"/>
        </w:rPr>
      </w:pPr>
      <w:r w:rsidRPr="00E933FD">
        <w:rPr>
          <w:i/>
          <w:color w:val="0070C0"/>
          <w:sz w:val="20"/>
          <w:szCs w:val="20"/>
        </w:rPr>
        <w:t xml:space="preserve">Stanislas Guillet, PLP Lettres Histoire-Géographie, Lycée Monge La </w:t>
      </w:r>
      <w:proofErr w:type="spellStart"/>
      <w:r w:rsidRPr="00E933FD">
        <w:rPr>
          <w:i/>
          <w:color w:val="0070C0"/>
          <w:sz w:val="20"/>
          <w:szCs w:val="20"/>
        </w:rPr>
        <w:t>Chauvinière</w:t>
      </w:r>
      <w:proofErr w:type="spellEnd"/>
      <w:r w:rsidRPr="00E933FD">
        <w:rPr>
          <w:i/>
          <w:color w:val="0070C0"/>
          <w:sz w:val="20"/>
          <w:szCs w:val="20"/>
        </w:rPr>
        <w:t xml:space="preserve">, </w:t>
      </w:r>
    </w:p>
    <w:p w:rsidR="00F830F0" w:rsidRPr="00E933FD" w:rsidRDefault="00F830F0" w:rsidP="00F830F0">
      <w:pPr>
        <w:jc w:val="right"/>
        <w:rPr>
          <w:i/>
          <w:color w:val="0070C0"/>
          <w:sz w:val="20"/>
          <w:szCs w:val="20"/>
        </w:rPr>
      </w:pPr>
      <w:r w:rsidRPr="00E933FD">
        <w:rPr>
          <w:i/>
          <w:color w:val="0070C0"/>
          <w:sz w:val="20"/>
          <w:szCs w:val="20"/>
        </w:rPr>
        <w:t xml:space="preserve">Chargé de mission à la DAAC auprès du musée d’Histoire de Nantes, Château des Ducs de Bretagne. </w:t>
      </w:r>
    </w:p>
    <w:p w:rsidR="00F830F0" w:rsidRPr="0024750E" w:rsidRDefault="00F830F0" w:rsidP="00A94221">
      <w:pPr>
        <w:jc w:val="both"/>
        <w:rPr>
          <w:i/>
        </w:rPr>
      </w:pPr>
    </w:p>
    <w:p w:rsidR="00A94221" w:rsidRDefault="00A94221"/>
    <w:sectPr w:rsidR="00A94221" w:rsidSect="00A942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94221"/>
    <w:rsid w:val="00886346"/>
    <w:rsid w:val="00A94221"/>
    <w:rsid w:val="00F8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21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94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42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422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4221"/>
    <w:rPr>
      <w:i/>
      <w:iCs/>
      <w:color w:val="4F81BD" w:themeColor="accent1"/>
      <w:sz w:val="24"/>
      <w:szCs w:val="24"/>
    </w:rPr>
  </w:style>
  <w:style w:type="character" w:styleId="lev">
    <w:name w:val="Strong"/>
    <w:basedOn w:val="Policepardfaut"/>
    <w:uiPriority w:val="22"/>
    <w:qFormat/>
    <w:rsid w:val="00A94221"/>
    <w:rPr>
      <w:b/>
      <w:bCs/>
    </w:rPr>
  </w:style>
  <w:style w:type="character" w:styleId="Emphaseintense">
    <w:name w:val="Intense Emphasis"/>
    <w:basedOn w:val="Policepardfaut"/>
    <w:uiPriority w:val="21"/>
    <w:qFormat/>
    <w:rsid w:val="00A94221"/>
    <w:rPr>
      <w:i/>
      <w:iCs/>
      <w:color w:val="4F81BD" w:themeColor="accent1"/>
    </w:rPr>
  </w:style>
  <w:style w:type="table" w:styleId="Grilledutableau">
    <w:name w:val="Table Grid"/>
    <w:basedOn w:val="TableauNormal"/>
    <w:uiPriority w:val="39"/>
    <w:rsid w:val="00A9422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cloclo_toto</dc:creator>
  <cp:lastModifiedBy>cloclo_toto</cp:lastModifiedBy>
  <cp:revision>2</cp:revision>
  <dcterms:created xsi:type="dcterms:W3CDTF">2019-02-22T09:06:00Z</dcterms:created>
  <dcterms:modified xsi:type="dcterms:W3CDTF">2019-02-22T09:11:00Z</dcterms:modified>
</cp:coreProperties>
</file>