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3F" w:rsidRPr="00CF725C" w:rsidRDefault="00E9313F" w:rsidP="00E9313F">
      <w:pPr>
        <w:pStyle w:val="Citationintense"/>
        <w:rPr>
          <w:strike/>
          <w:color w:val="00B0F0"/>
        </w:rPr>
      </w:pPr>
      <w:r w:rsidRPr="00CF725C">
        <w:rPr>
          <w:color w:val="00B0F0"/>
        </w:rPr>
        <w:t xml:space="preserve">Cimarron au musée d’Histoire de Nantes, salles </w:t>
      </w:r>
      <w:r w:rsidR="002206AC" w:rsidRPr="00CF725C">
        <w:rPr>
          <w:color w:val="00B0F0"/>
        </w:rPr>
        <w:t xml:space="preserve">de l’exposition permanente </w:t>
      </w:r>
      <w:r w:rsidRPr="00CF725C">
        <w:rPr>
          <w:color w:val="00B0F0"/>
        </w:rPr>
        <w:t xml:space="preserve">du musée </w:t>
      </w:r>
    </w:p>
    <w:p w:rsidR="00E9313F" w:rsidRPr="002206AC" w:rsidRDefault="00E9313F" w:rsidP="00E9313F">
      <w:pPr>
        <w:jc w:val="center"/>
        <w:rPr>
          <w:b/>
          <w:color w:val="0000FF"/>
        </w:rPr>
      </w:pPr>
      <w:r w:rsidRPr="006839B5">
        <w:rPr>
          <w:b/>
        </w:rPr>
        <w:t>1</w:t>
      </w:r>
      <w:r w:rsidRPr="006839B5">
        <w:rPr>
          <w:b/>
          <w:vertAlign w:val="superscript"/>
        </w:rPr>
        <w:t>er</w:t>
      </w:r>
      <w:r w:rsidRPr="006839B5">
        <w:rPr>
          <w:b/>
        </w:rPr>
        <w:t xml:space="preserve"> février – 14 avril</w:t>
      </w:r>
      <w:r w:rsidR="002206AC">
        <w:rPr>
          <w:b/>
        </w:rPr>
        <w:t xml:space="preserve"> </w:t>
      </w:r>
      <w:r w:rsidR="002206AC" w:rsidRPr="00CF725C">
        <w:rPr>
          <w:b/>
          <w:color w:val="0000FF"/>
        </w:rPr>
        <w:t>2019</w:t>
      </w:r>
    </w:p>
    <w:p w:rsidR="00E9313F" w:rsidRPr="00CF725C" w:rsidRDefault="00E9313F" w:rsidP="00E9313F">
      <w:pPr>
        <w:pStyle w:val="Titre1"/>
        <w:jc w:val="center"/>
        <w:rPr>
          <w:b/>
          <w:bCs/>
          <w:color w:val="00B0F0"/>
        </w:rPr>
      </w:pPr>
      <w:r w:rsidRPr="00CF725C">
        <w:rPr>
          <w:rStyle w:val="lev"/>
          <w:color w:val="00B0F0"/>
        </w:rPr>
        <w:t xml:space="preserve">Propositions </w:t>
      </w:r>
      <w:r w:rsidR="002206AC" w:rsidRPr="00CF725C">
        <w:rPr>
          <w:rStyle w:val="lev"/>
          <w:color w:val="00B0F0"/>
        </w:rPr>
        <w:t xml:space="preserve">d’activités </w:t>
      </w:r>
      <w:r w:rsidRPr="00CF725C">
        <w:rPr>
          <w:rStyle w:val="lev"/>
          <w:color w:val="00B0F0"/>
        </w:rPr>
        <w:t>pour la voie professionnelle</w:t>
      </w:r>
      <w:bookmarkStart w:id="0" w:name="_GoBack"/>
      <w:bookmarkEnd w:id="0"/>
      <w:r w:rsidR="002206AC" w:rsidRPr="00CF725C">
        <w:rPr>
          <w:rStyle w:val="lev"/>
          <w:color w:val="00B0F0"/>
        </w:rPr>
        <w:t xml:space="preserve"> lors d’une visite</w:t>
      </w:r>
    </w:p>
    <w:p w:rsidR="00E9313F" w:rsidRDefault="00E9313F"/>
    <w:p w:rsidR="00E9313F" w:rsidRDefault="00E9313F" w:rsidP="00E9313F">
      <w:pPr>
        <w:pStyle w:val="Titre1"/>
        <w:jc w:val="both"/>
      </w:pPr>
      <w:r>
        <w:t xml:space="preserve">2de BAC PRO </w:t>
      </w:r>
    </w:p>
    <w:p w:rsidR="00E9313F" w:rsidRDefault="00E9313F" w:rsidP="00E9313F">
      <w:pPr>
        <w:jc w:val="both"/>
      </w:pPr>
    </w:p>
    <w:p w:rsidR="00E9313F" w:rsidRPr="002467B5" w:rsidRDefault="00E9313F" w:rsidP="00E9313F">
      <w:pPr>
        <w:jc w:val="both"/>
        <w:rPr>
          <w:rStyle w:val="Emphaseintense"/>
        </w:rPr>
      </w:pPr>
      <w:r w:rsidRPr="002467B5">
        <w:rPr>
          <w:rStyle w:val="Emphaseintense"/>
        </w:rPr>
        <w:t xml:space="preserve">Exposition permanente. </w:t>
      </w:r>
    </w:p>
    <w:p w:rsidR="00E9313F" w:rsidRDefault="00E9313F" w:rsidP="00E9313F">
      <w:pPr>
        <w:jc w:val="both"/>
      </w:pPr>
    </w:p>
    <w:p w:rsidR="00E9313F" w:rsidRPr="00734D6C" w:rsidRDefault="00E9313F" w:rsidP="00E9313F">
      <w:pPr>
        <w:jc w:val="both"/>
        <w:rPr>
          <w:b/>
        </w:rPr>
      </w:pPr>
      <w:r w:rsidRPr="00734D6C">
        <w:rPr>
          <w:b/>
        </w:rPr>
        <w:t xml:space="preserve">Histoire </w:t>
      </w:r>
    </w:p>
    <w:p w:rsidR="00E9313F" w:rsidRDefault="00E9313F" w:rsidP="00E9313F">
      <w:pPr>
        <w:jc w:val="both"/>
      </w:pPr>
    </w:p>
    <w:tbl>
      <w:tblPr>
        <w:tblW w:w="10800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2"/>
        <w:gridCol w:w="2358"/>
        <w:gridCol w:w="1680"/>
        <w:gridCol w:w="5280"/>
      </w:tblGrid>
      <w:tr w:rsidR="00E9313F" w:rsidRPr="0089458F" w:rsidTr="00A953B6">
        <w:tc>
          <w:tcPr>
            <w:tcW w:w="10800" w:type="dxa"/>
            <w:gridSpan w:val="4"/>
          </w:tcPr>
          <w:p w:rsidR="00E9313F" w:rsidRPr="0089458F" w:rsidRDefault="00E9313F" w:rsidP="00A953B6">
            <w:pPr>
              <w:jc w:val="center"/>
              <w:rPr>
                <w:rFonts w:ascii="Arial Narrow" w:hAnsi="Arial Narrow" w:cs="Times New Roman"/>
                <w:b/>
              </w:rPr>
            </w:pPr>
            <w:r w:rsidRPr="0089458F">
              <w:rPr>
                <w:rFonts w:ascii="Arial Narrow" w:hAnsi="Arial Narrow" w:cs="Times New Roman"/>
                <w:b/>
                <w:sz w:val="22"/>
                <w:szCs w:val="22"/>
              </w:rPr>
              <w:t>Séquence  3 Histoire : Le premier empire colonial français XVIe – XVIIIe siècle</w:t>
            </w:r>
          </w:p>
        </w:tc>
      </w:tr>
      <w:tr w:rsidR="00E9313F" w:rsidRPr="0089458F" w:rsidTr="00A953B6">
        <w:tc>
          <w:tcPr>
            <w:tcW w:w="1482" w:type="dxa"/>
          </w:tcPr>
          <w:p w:rsidR="00E9313F" w:rsidRPr="0089458F" w:rsidRDefault="00E9313F" w:rsidP="00A953B6">
            <w:pPr>
              <w:jc w:val="center"/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Séances</w:t>
            </w:r>
          </w:p>
        </w:tc>
        <w:tc>
          <w:tcPr>
            <w:tcW w:w="2358" w:type="dxa"/>
          </w:tcPr>
          <w:p w:rsidR="00E9313F" w:rsidRPr="00315E6A" w:rsidRDefault="00E9313F" w:rsidP="00A953B6">
            <w:pPr>
              <w:pStyle w:val="Titre4"/>
              <w:spacing w:before="0"/>
              <w:jc w:val="center"/>
              <w:rPr>
                <w:rFonts w:ascii="Arial Narrow" w:hAnsi="Arial Narrow"/>
                <w:b w:val="0"/>
                <w:i w:val="0"/>
                <w:color w:val="auto"/>
              </w:rPr>
            </w:pPr>
            <w:r>
              <w:rPr>
                <w:rFonts w:ascii="Arial Narrow" w:hAnsi="Arial Narrow"/>
                <w:b w:val="0"/>
                <w:i w:val="0"/>
                <w:color w:val="auto"/>
                <w:sz w:val="22"/>
                <w:szCs w:val="22"/>
              </w:rPr>
              <w:t>Questionnement</w:t>
            </w:r>
          </w:p>
        </w:tc>
        <w:tc>
          <w:tcPr>
            <w:tcW w:w="1680" w:type="dxa"/>
          </w:tcPr>
          <w:p w:rsidR="00E9313F" w:rsidRPr="0089458F" w:rsidRDefault="00E9313F" w:rsidP="00A953B6">
            <w:pPr>
              <w:jc w:val="center"/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Notions</w:t>
            </w:r>
          </w:p>
        </w:tc>
        <w:tc>
          <w:tcPr>
            <w:tcW w:w="5280" w:type="dxa"/>
          </w:tcPr>
          <w:p w:rsidR="00E9313F" w:rsidRPr="0089458F" w:rsidRDefault="00E9313F" w:rsidP="00A953B6">
            <w:pPr>
              <w:jc w:val="center"/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Capacités mises en œuvre</w:t>
            </w:r>
          </w:p>
        </w:tc>
      </w:tr>
      <w:tr w:rsidR="00E9313F" w:rsidRPr="0089458F" w:rsidTr="00A953B6">
        <w:tc>
          <w:tcPr>
            <w:tcW w:w="1482" w:type="dxa"/>
          </w:tcPr>
          <w:p w:rsidR="00E9313F" w:rsidRPr="0089458F" w:rsidRDefault="00E9313F" w:rsidP="00A953B6">
            <w:pPr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1- Le premier Empire colonial de la France</w:t>
            </w:r>
          </w:p>
          <w:p w:rsidR="002206AC" w:rsidRDefault="00E9313F" w:rsidP="00A953B6">
            <w:pPr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 xml:space="preserve">Nantes et le commerce triangulaire </w:t>
            </w:r>
          </w:p>
          <w:p w:rsidR="00E9313F" w:rsidRPr="0089458F" w:rsidRDefault="00E9313F" w:rsidP="00A953B6">
            <w:pPr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 xml:space="preserve">Une plantation </w:t>
            </w:r>
          </w:p>
        </w:tc>
        <w:tc>
          <w:tcPr>
            <w:tcW w:w="2358" w:type="dxa"/>
          </w:tcPr>
          <w:p w:rsidR="00E9313F" w:rsidRPr="0089458F" w:rsidRDefault="00E9313F" w:rsidP="00A953B6">
            <w:pPr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- Comment s’organise la Traite des Noirs entre les 16</w:t>
            </w:r>
            <w:r w:rsidRPr="0089458F">
              <w:rPr>
                <w:rFonts w:ascii="Arial Narrow" w:hAnsi="Arial Narrow" w:cs="Times New Roman"/>
                <w:sz w:val="22"/>
                <w:szCs w:val="22"/>
                <w:vertAlign w:val="superscript"/>
              </w:rPr>
              <w:t>e</w:t>
            </w:r>
            <w:r w:rsidRPr="0089458F">
              <w:rPr>
                <w:rFonts w:ascii="Arial Narrow" w:hAnsi="Arial Narrow" w:cs="Times New Roman"/>
                <w:sz w:val="22"/>
                <w:szCs w:val="22"/>
              </w:rPr>
              <w:t xml:space="preserve"> et 18</w:t>
            </w:r>
            <w:r w:rsidRPr="0089458F">
              <w:rPr>
                <w:rFonts w:ascii="Arial Narrow" w:hAnsi="Arial Narrow" w:cs="Times New Roman"/>
                <w:sz w:val="22"/>
                <w:szCs w:val="22"/>
                <w:vertAlign w:val="superscript"/>
              </w:rPr>
              <w:t>e</w:t>
            </w:r>
            <w:r w:rsidRPr="0089458F">
              <w:rPr>
                <w:rFonts w:ascii="Arial Narrow" w:hAnsi="Arial Narrow" w:cs="Times New Roman"/>
                <w:sz w:val="22"/>
                <w:szCs w:val="22"/>
              </w:rPr>
              <w:t xml:space="preserve"> siècles ?</w:t>
            </w:r>
          </w:p>
          <w:p w:rsidR="00E9313F" w:rsidRPr="0089458F" w:rsidRDefault="00E9313F" w:rsidP="00A953B6">
            <w:pPr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- Comment s’organise l’économie de plantation dans les colonies françaises  à cette même époque ?</w:t>
            </w:r>
          </w:p>
        </w:tc>
        <w:tc>
          <w:tcPr>
            <w:tcW w:w="1680" w:type="dxa"/>
          </w:tcPr>
          <w:p w:rsidR="00E9313F" w:rsidRPr="0089458F" w:rsidRDefault="00E9313F" w:rsidP="00A953B6">
            <w:pPr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Commerce exclusif</w:t>
            </w:r>
          </w:p>
          <w:p w:rsidR="00E9313F" w:rsidRPr="0089458F" w:rsidRDefault="00E9313F" w:rsidP="00A953B6">
            <w:pPr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Traite</w:t>
            </w:r>
          </w:p>
          <w:p w:rsidR="00E9313F" w:rsidRPr="0089458F" w:rsidRDefault="00E9313F" w:rsidP="00A953B6">
            <w:pPr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Esclavage</w:t>
            </w:r>
          </w:p>
          <w:p w:rsidR="00E9313F" w:rsidRPr="0089458F" w:rsidRDefault="00E9313F" w:rsidP="00A953B6">
            <w:pPr>
              <w:rPr>
                <w:rFonts w:ascii="Arial Narrow" w:hAnsi="Arial Narrow" w:cs="Times New Roman"/>
              </w:rPr>
            </w:pPr>
            <w:r w:rsidRPr="0089458F">
              <w:rPr>
                <w:rFonts w:ascii="Arial Narrow" w:hAnsi="Arial Narrow" w:cs="Times New Roman"/>
                <w:sz w:val="22"/>
                <w:szCs w:val="22"/>
              </w:rPr>
              <w:t>Plantation</w:t>
            </w:r>
          </w:p>
        </w:tc>
        <w:tc>
          <w:tcPr>
            <w:tcW w:w="5280" w:type="dxa"/>
          </w:tcPr>
          <w:p w:rsidR="00E9313F" w:rsidRPr="0089458F" w:rsidRDefault="00E9313F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>Relever, classer et hiérarchiser les informations contenues dans le document selon des critères donnés</w:t>
            </w:r>
          </w:p>
          <w:p w:rsidR="00E9313F" w:rsidRPr="0089458F" w:rsidRDefault="00E9313F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>Identifier la nature, l’auteur et les informations accompagnant le document</w:t>
            </w:r>
          </w:p>
          <w:p w:rsidR="00E9313F" w:rsidRPr="0089458F" w:rsidRDefault="00E9313F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>Relever les informations essentielles contenues dans le document et les mettre en relation avec ses connaissances</w:t>
            </w:r>
          </w:p>
          <w:p w:rsidR="00E9313F" w:rsidRPr="0089458F" w:rsidRDefault="00E9313F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>Dégager l’intérêt et les limites du document</w:t>
            </w:r>
          </w:p>
          <w:p w:rsidR="00E9313F" w:rsidRPr="0089458F" w:rsidRDefault="00E9313F" w:rsidP="00A953B6">
            <w:pPr>
              <w:autoSpaceDE w:val="0"/>
              <w:autoSpaceDN w:val="0"/>
              <w:adjustRightInd w:val="0"/>
              <w:snapToGrid w:val="0"/>
              <w:rPr>
                <w:rFonts w:ascii="Arial Narrow" w:hAnsi="Arial Narrow" w:cs="ialMT"/>
                <w:color w:val="000000"/>
              </w:rPr>
            </w:pPr>
            <w:r w:rsidRPr="0089458F">
              <w:rPr>
                <w:rFonts w:ascii="Arial Narrow" w:hAnsi="Arial Narrow" w:cs="ialMT"/>
                <w:color w:val="000000"/>
                <w:sz w:val="22"/>
                <w:szCs w:val="22"/>
              </w:rPr>
              <w:t xml:space="preserve">Résumer à l’écrit ou à l’oral l’idée essentielle d’un document </w:t>
            </w:r>
          </w:p>
        </w:tc>
      </w:tr>
    </w:tbl>
    <w:p w:rsidR="00E9313F" w:rsidRDefault="00E9313F" w:rsidP="00E9313F">
      <w:pPr>
        <w:jc w:val="both"/>
      </w:pPr>
    </w:p>
    <w:p w:rsidR="00E9313F" w:rsidRDefault="00E9313F" w:rsidP="00E9313F">
      <w:pPr>
        <w:jc w:val="both"/>
      </w:pPr>
      <w:r>
        <w:t xml:space="preserve">En lien avec la proposition de visite en autonomie effectuée sur cette thématique (cf. fiches sur le site du </w:t>
      </w:r>
      <w:r w:rsidRPr="00CF725C">
        <w:t>château</w:t>
      </w:r>
      <w:r w:rsidR="002206AC" w:rsidRPr="00CF725C">
        <w:t>- mettre le lien pour un renvoi direct</w:t>
      </w:r>
      <w:r w:rsidRPr="00CF725C">
        <w:t xml:space="preserve">), il </w:t>
      </w:r>
      <w:r w:rsidR="003449C3" w:rsidRPr="00CF725C">
        <w:t>est</w:t>
      </w:r>
      <w:r w:rsidRPr="00CF725C">
        <w:t xml:space="preserve"> tout à fait intéressant d’aborder 3 thématiques</w:t>
      </w:r>
      <w:r w:rsidR="003449C3" w:rsidRPr="00CF725C">
        <w:t xml:space="preserve"> parmi</w:t>
      </w:r>
      <w:r w:rsidR="003449C3">
        <w:t xml:space="preserve"> les 10</w:t>
      </w:r>
      <w:r>
        <w:t xml:space="preserve"> étudiées au musée à travers les 6 photographies de Charles </w:t>
      </w:r>
      <w:proofErr w:type="spellStart"/>
      <w:r>
        <w:t>Fréger</w:t>
      </w:r>
      <w:proofErr w:type="spellEnd"/>
      <w:r>
        <w:t xml:space="preserve"> consacrées aux mascarades.</w:t>
      </w:r>
    </w:p>
    <w:p w:rsidR="00E9313F" w:rsidRDefault="00E9313F" w:rsidP="00E9313F">
      <w:pPr>
        <w:jc w:val="both"/>
      </w:pPr>
    </w:p>
    <w:p w:rsidR="00E9313F" w:rsidRPr="00CF725C" w:rsidRDefault="00E9313F" w:rsidP="00E9313F">
      <w:pPr>
        <w:jc w:val="both"/>
        <w:rPr>
          <w:i/>
        </w:rPr>
      </w:pPr>
      <w:r w:rsidRPr="00CF725C">
        <w:rPr>
          <w:i/>
        </w:rPr>
        <w:t xml:space="preserve">Groupe qui travaille sur les côtes africaines, la traite </w:t>
      </w:r>
    </w:p>
    <w:p w:rsidR="00E9313F" w:rsidRPr="00CF725C" w:rsidRDefault="00E9313F" w:rsidP="00E9313F">
      <w:pPr>
        <w:pStyle w:val="Paragraphedeliste"/>
        <w:numPr>
          <w:ilvl w:val="0"/>
          <w:numId w:val="1"/>
        </w:numPr>
        <w:jc w:val="both"/>
      </w:pPr>
      <w:r w:rsidRPr="00CF725C">
        <w:t xml:space="preserve">La photographie salle 13  « NEG GWO SIWO » (Saint-Pierre, Martinique) explicite une façon de rendre hommage aux premiers </w:t>
      </w:r>
      <w:r w:rsidR="002206AC" w:rsidRPr="00CF725C">
        <w:t>A</w:t>
      </w:r>
      <w:r w:rsidRPr="00CF725C">
        <w:t>fricains arrivés en</w:t>
      </w:r>
      <w:r w:rsidR="00CF725C" w:rsidRPr="00CF725C">
        <w:t xml:space="preserve"> Amérique,</w:t>
      </w:r>
      <w:r w:rsidRPr="00CF725C">
        <w:t xml:space="preserve"> avant le processus de métissage. </w:t>
      </w:r>
    </w:p>
    <w:p w:rsidR="00E9313F" w:rsidRPr="00CF725C" w:rsidRDefault="00E9313F" w:rsidP="00E9313F">
      <w:pPr>
        <w:pStyle w:val="Paragraphedeliste"/>
        <w:numPr>
          <w:ilvl w:val="0"/>
          <w:numId w:val="1"/>
        </w:numPr>
        <w:jc w:val="both"/>
      </w:pPr>
      <w:r w:rsidRPr="00CF725C">
        <w:t xml:space="preserve">La photographie salle 13 « YANKUNU » (Livingston, Izabal, Guatemala) permet d’évoquer le rôle d’un marchand et guerrier africain (John </w:t>
      </w:r>
      <w:proofErr w:type="spellStart"/>
      <w:r w:rsidRPr="00CF725C">
        <w:t>Conny</w:t>
      </w:r>
      <w:proofErr w:type="spellEnd"/>
      <w:r w:rsidRPr="00CF725C">
        <w:t xml:space="preserve">) dans les comptoirs de Côte d’Ivoire. </w:t>
      </w:r>
    </w:p>
    <w:p w:rsidR="00E9313F" w:rsidRPr="00CF725C" w:rsidRDefault="00E9313F" w:rsidP="00E9313F">
      <w:pPr>
        <w:jc w:val="both"/>
      </w:pPr>
    </w:p>
    <w:p w:rsidR="00E9313F" w:rsidRPr="00CF725C" w:rsidRDefault="00E9313F" w:rsidP="00E9313F">
      <w:pPr>
        <w:jc w:val="both"/>
        <w:rPr>
          <w:i/>
        </w:rPr>
      </w:pPr>
      <w:r w:rsidRPr="00CF725C">
        <w:rPr>
          <w:i/>
        </w:rPr>
        <w:t xml:space="preserve">Groupe qui travaille sur les </w:t>
      </w:r>
      <w:r w:rsidR="002206AC" w:rsidRPr="00CF725C">
        <w:rPr>
          <w:i/>
        </w:rPr>
        <w:t>p</w:t>
      </w:r>
      <w:r w:rsidRPr="00CF725C">
        <w:rPr>
          <w:i/>
        </w:rPr>
        <w:t xml:space="preserve">lantations </w:t>
      </w:r>
    </w:p>
    <w:p w:rsidR="00E9313F" w:rsidRPr="00CF725C" w:rsidRDefault="00E9313F" w:rsidP="00E9313F">
      <w:pPr>
        <w:pStyle w:val="Paragraphedeliste"/>
        <w:numPr>
          <w:ilvl w:val="0"/>
          <w:numId w:val="1"/>
        </w:numPr>
        <w:jc w:val="both"/>
      </w:pPr>
      <w:r w:rsidRPr="00CF725C">
        <w:t>Les photographies salle 8, « LANKSET KOD », (Jacmel, Sud-Est, Haïti) ; « NEG GWO SIWO » (Saint-Pierre, Martinique) permettent d’</w:t>
      </w:r>
      <w:r w:rsidR="003449C3" w:rsidRPr="00CF725C">
        <w:t>évoquer la forme que peu</w:t>
      </w:r>
      <w:r w:rsidRPr="00CF725C">
        <w:t>t prendre la mémoire du marronnage.</w:t>
      </w:r>
    </w:p>
    <w:p w:rsidR="00E9313F" w:rsidRPr="00CF725C" w:rsidRDefault="00E9313F" w:rsidP="00E9313F">
      <w:pPr>
        <w:pStyle w:val="Paragraphedeliste"/>
        <w:numPr>
          <w:ilvl w:val="0"/>
          <w:numId w:val="1"/>
        </w:numPr>
        <w:jc w:val="both"/>
      </w:pPr>
      <w:r w:rsidRPr="00CF725C">
        <w:t xml:space="preserve">La photographie salle 12 « FLAMBEAU » (La Nouvelle Orléans, Louisiane, </w:t>
      </w:r>
      <w:r w:rsidR="002206AC" w:rsidRPr="00CF725C">
        <w:rPr>
          <w:rFonts w:cstheme="minorHAnsi"/>
        </w:rPr>
        <w:t>É</w:t>
      </w:r>
      <w:r w:rsidRPr="00CF725C">
        <w:t>tats-Unis) témoigne d’une autre façon de garder la mémoire de l’esclavage.</w:t>
      </w:r>
    </w:p>
    <w:p w:rsidR="00E9313F" w:rsidRPr="00CF725C" w:rsidRDefault="00E9313F" w:rsidP="00E9313F">
      <w:pPr>
        <w:pStyle w:val="Paragraphedeliste"/>
        <w:numPr>
          <w:ilvl w:val="0"/>
          <w:numId w:val="1"/>
        </w:numPr>
        <w:jc w:val="both"/>
      </w:pPr>
      <w:r w:rsidRPr="00CF725C">
        <w:t xml:space="preserve">La photographie salle 13 NERGRO BOZALES, ZARACUNDE, (La Villa de Los Santos, Panama), fait ressortir la notion de </w:t>
      </w:r>
      <w:proofErr w:type="spellStart"/>
      <w:r w:rsidRPr="00CF725C">
        <w:rPr>
          <w:i/>
        </w:rPr>
        <w:t>Bossale</w:t>
      </w:r>
      <w:proofErr w:type="spellEnd"/>
      <w:r w:rsidRPr="00CF725C">
        <w:t>, l’esclave tout juste arrivé d’Afrique, chez qui l’esprit de révolte est le plus fort et le</w:t>
      </w:r>
      <w:r w:rsidR="003449C3" w:rsidRPr="00CF725C">
        <w:t>s risques de</w:t>
      </w:r>
      <w:r w:rsidRPr="00CF725C">
        <w:t xml:space="preserve"> marronnage le</w:t>
      </w:r>
      <w:r w:rsidR="003449C3" w:rsidRPr="00CF725C">
        <w:t>s</w:t>
      </w:r>
      <w:r w:rsidRPr="00CF725C">
        <w:t xml:space="preserve"> plus important</w:t>
      </w:r>
      <w:r w:rsidR="003449C3" w:rsidRPr="00CF725C">
        <w:t>s</w:t>
      </w:r>
      <w:r w:rsidRPr="00CF725C">
        <w:t xml:space="preserve">. </w:t>
      </w:r>
    </w:p>
    <w:p w:rsidR="00E9313F" w:rsidRDefault="00E9313F" w:rsidP="00E9313F">
      <w:pPr>
        <w:jc w:val="both"/>
      </w:pPr>
    </w:p>
    <w:p w:rsidR="00E9313F" w:rsidRPr="00D06DFE" w:rsidRDefault="00E9313F" w:rsidP="00E9313F">
      <w:pPr>
        <w:jc w:val="both"/>
        <w:rPr>
          <w:i/>
        </w:rPr>
      </w:pPr>
      <w:r w:rsidRPr="00724266">
        <w:rPr>
          <w:i/>
        </w:rPr>
        <w:t>Groupe qui travaille sur les abolitions de l’esclavage</w:t>
      </w:r>
    </w:p>
    <w:p w:rsidR="00E9313F" w:rsidRDefault="00E9313F" w:rsidP="00E9313F">
      <w:pPr>
        <w:pStyle w:val="Paragraphedeliste"/>
        <w:numPr>
          <w:ilvl w:val="0"/>
          <w:numId w:val="1"/>
        </w:numPr>
        <w:jc w:val="both"/>
      </w:pPr>
      <w:r>
        <w:t xml:space="preserve">La photographie salle 13, YANKUNU, (Livingston, Izabal, Guatemala) permet d’évoquer le rôle d’un marchand et guerrier africain, John </w:t>
      </w:r>
      <w:proofErr w:type="spellStart"/>
      <w:r>
        <w:t>Conny</w:t>
      </w:r>
      <w:proofErr w:type="spellEnd"/>
      <w:r>
        <w:t>, dans les luttes contre les puissances européennes en Jamaïque en 1708.</w:t>
      </w:r>
    </w:p>
    <w:p w:rsidR="00E9313F" w:rsidRDefault="00E9313F" w:rsidP="00E9313F">
      <w:pPr>
        <w:pStyle w:val="Paragraphedeliste"/>
        <w:numPr>
          <w:ilvl w:val="0"/>
          <w:numId w:val="1"/>
        </w:numPr>
        <w:jc w:val="both"/>
      </w:pPr>
      <w:r>
        <w:t>La photographie</w:t>
      </w:r>
      <w:r w:rsidRPr="00724266">
        <w:t xml:space="preserve"> </w:t>
      </w:r>
      <w:r>
        <w:t xml:space="preserve">salle 18, DESSALINES (Croix des Bouquets, Haïti), éclaire le rôle joué par Jean-Jacques Dessalines, lieutenant de Toussaint Louverture. </w:t>
      </w:r>
    </w:p>
    <w:sectPr w:rsidR="00E9313F" w:rsidSect="00E931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988F7F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alM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C1589"/>
    <w:multiLevelType w:val="hybridMultilevel"/>
    <w:tmpl w:val="8176022A"/>
    <w:lvl w:ilvl="0" w:tplc="1892068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ctorat">
    <w15:presenceInfo w15:providerId="None" w15:userId="Rectorat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9313F"/>
    <w:rsid w:val="00040280"/>
    <w:rsid w:val="002206AC"/>
    <w:rsid w:val="002467B5"/>
    <w:rsid w:val="003449C3"/>
    <w:rsid w:val="00957948"/>
    <w:rsid w:val="00CF725C"/>
    <w:rsid w:val="00D216B0"/>
    <w:rsid w:val="00E9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13F"/>
    <w:pPr>
      <w:spacing w:after="0" w:line="240" w:lineRule="auto"/>
    </w:pPr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E93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931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93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semiHidden/>
    <w:rsid w:val="00E9313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E9313F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E9313F"/>
    <w:rPr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9313F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9313F"/>
    <w:rPr>
      <w:i/>
      <w:iCs/>
      <w:color w:val="4F81BD" w:themeColor="accent1"/>
      <w:sz w:val="24"/>
      <w:szCs w:val="24"/>
    </w:rPr>
  </w:style>
  <w:style w:type="character" w:styleId="lev">
    <w:name w:val="Strong"/>
    <w:basedOn w:val="Policepardfaut"/>
    <w:uiPriority w:val="22"/>
    <w:qFormat/>
    <w:rsid w:val="00E9313F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2206A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06A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06A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06A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06AC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06A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0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444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cloclo_toto</cp:lastModifiedBy>
  <cp:revision>2</cp:revision>
  <dcterms:created xsi:type="dcterms:W3CDTF">2019-02-22T08:37:00Z</dcterms:created>
  <dcterms:modified xsi:type="dcterms:W3CDTF">2019-02-22T08:37:00Z</dcterms:modified>
</cp:coreProperties>
</file>