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370" w:tblpY="545"/>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518"/>
        <w:gridCol w:w="4678"/>
        <w:gridCol w:w="2268"/>
        <w:gridCol w:w="2268"/>
        <w:gridCol w:w="2268"/>
        <w:gridCol w:w="2268"/>
      </w:tblGrid>
      <w:tr w:rsidR="002946F1" w:rsidRPr="00562B7F" w14:paraId="3A80E88A" w14:textId="77777777" w:rsidTr="00B264DB">
        <w:trPr>
          <w:trHeight w:val="500"/>
        </w:trPr>
        <w:tc>
          <w:tcPr>
            <w:tcW w:w="2518" w:type="dxa"/>
            <w:shd w:val="clear" w:color="auto" w:fill="FFFF00"/>
          </w:tcPr>
          <w:p w14:paraId="7067868F" w14:textId="77777777" w:rsidR="002946F1" w:rsidRPr="00B34B4D" w:rsidRDefault="002946F1" w:rsidP="00B264DB">
            <w:pPr>
              <w:rPr>
                <w:rFonts w:ascii="Arial" w:hAnsi="Arial" w:cs="Arial"/>
                <w:b/>
                <w:color w:val="FF0000"/>
                <w:sz w:val="20"/>
                <w:szCs w:val="20"/>
              </w:rPr>
            </w:pPr>
            <w:bookmarkStart w:id="0" w:name="_GoBack"/>
            <w:bookmarkEnd w:id="0"/>
            <w:r w:rsidRPr="00B34B4D">
              <w:rPr>
                <w:rFonts w:ascii="Arial" w:hAnsi="Arial" w:cs="Arial"/>
                <w:b/>
                <w:color w:val="FF0000"/>
                <w:sz w:val="20"/>
                <w:szCs w:val="20"/>
              </w:rPr>
              <w:t>DOMAINE 2</w:t>
            </w:r>
          </w:p>
        </w:tc>
        <w:tc>
          <w:tcPr>
            <w:tcW w:w="13750" w:type="dxa"/>
            <w:gridSpan w:val="5"/>
            <w:shd w:val="clear" w:color="auto" w:fill="FFFF00"/>
          </w:tcPr>
          <w:p w14:paraId="4EA2115C" w14:textId="77777777" w:rsidR="002946F1" w:rsidRPr="00562B7F" w:rsidRDefault="002946F1" w:rsidP="00B264DB">
            <w:pPr>
              <w:pStyle w:val="NormalWeb"/>
              <w:widowControl w:val="0"/>
              <w:numPr>
                <w:ilvl w:val="0"/>
                <w:numId w:val="1"/>
              </w:numPr>
              <w:autoSpaceDE w:val="0"/>
              <w:autoSpaceDN w:val="0"/>
              <w:adjustRightInd w:val="0"/>
              <w:ind w:left="284" w:hanging="284"/>
              <w:rPr>
                <w:rFonts w:ascii="Arial" w:hAnsi="Arial" w:cs="Arial"/>
                <w:lang w:eastAsia="ja-JP"/>
              </w:rPr>
            </w:pPr>
            <w:r>
              <w:rPr>
                <w:rFonts w:ascii="Arial" w:hAnsi="Arial" w:cs="Arial"/>
                <w:u w:val="single"/>
                <w:lang w:eastAsia="ja-JP"/>
              </w:rPr>
              <w:t>Rappel de l’enjeu de formation</w:t>
            </w:r>
            <w:r w:rsidRPr="00B34B4D">
              <w:rPr>
                <w:rFonts w:ascii="Arial" w:hAnsi="Arial" w:cs="Arial"/>
                <w:u w:val="single"/>
                <w:lang w:eastAsia="ja-JP"/>
              </w:rPr>
              <w:t xml:space="preserve"> pour le cycle 4 </w:t>
            </w:r>
            <w:r>
              <w:rPr>
                <w:rFonts w:ascii="Arial" w:hAnsi="Arial" w:cs="Arial"/>
                <w:lang w:eastAsia="ja-JP"/>
              </w:rPr>
              <w:t>: coopérer, faire des projets, travailler en équipe</w:t>
            </w:r>
          </w:p>
        </w:tc>
      </w:tr>
      <w:tr w:rsidR="002946F1" w:rsidRPr="00562B7F" w14:paraId="3FCB0E9C" w14:textId="77777777" w:rsidTr="00B264DB">
        <w:trPr>
          <w:trHeight w:val="500"/>
        </w:trPr>
        <w:tc>
          <w:tcPr>
            <w:tcW w:w="2518" w:type="dxa"/>
            <w:shd w:val="clear" w:color="auto" w:fill="EAF1DD" w:themeFill="accent3" w:themeFillTint="33"/>
          </w:tcPr>
          <w:p w14:paraId="7E65C21B" w14:textId="77777777" w:rsidR="002946F1" w:rsidRPr="00562B7F" w:rsidRDefault="002946F1" w:rsidP="00B264DB">
            <w:pPr>
              <w:rPr>
                <w:rFonts w:ascii="Arial" w:hAnsi="Arial" w:cs="Arial"/>
                <w:sz w:val="20"/>
                <w:szCs w:val="20"/>
              </w:rPr>
            </w:pPr>
            <w:r w:rsidRPr="00562B7F">
              <w:rPr>
                <w:rFonts w:ascii="Arial" w:hAnsi="Arial" w:cs="Arial"/>
                <w:sz w:val="20"/>
                <w:szCs w:val="20"/>
              </w:rPr>
              <w:t xml:space="preserve">3. </w:t>
            </w:r>
            <w:r w:rsidRPr="00562B7F">
              <w:rPr>
                <w:rFonts w:ascii="Arial" w:hAnsi="Arial" w:cs="Arial"/>
                <w:bCs/>
                <w:kern w:val="24"/>
                <w:sz w:val="20"/>
                <w:szCs w:val="20"/>
              </w:rPr>
              <w:t xml:space="preserve"> S’exprimer devant les autres par une prestation artistique et/ou acrobatique</w:t>
            </w:r>
          </w:p>
        </w:tc>
        <w:tc>
          <w:tcPr>
            <w:tcW w:w="13750" w:type="dxa"/>
            <w:gridSpan w:val="5"/>
            <w:shd w:val="clear" w:color="auto" w:fill="EAF1DD" w:themeFill="accent3" w:themeFillTint="33"/>
          </w:tcPr>
          <w:p w14:paraId="20D48D0E" w14:textId="77777777" w:rsidR="002946F1" w:rsidRPr="00562B7F" w:rsidRDefault="002946F1" w:rsidP="00B264DB">
            <w:pPr>
              <w:pStyle w:val="NormalWeb"/>
              <w:widowControl w:val="0"/>
              <w:numPr>
                <w:ilvl w:val="0"/>
                <w:numId w:val="1"/>
              </w:numPr>
              <w:autoSpaceDE w:val="0"/>
              <w:autoSpaceDN w:val="0"/>
              <w:adjustRightInd w:val="0"/>
              <w:ind w:left="284" w:hanging="284"/>
              <w:rPr>
                <w:rFonts w:ascii="Arial" w:hAnsi="Arial" w:cs="Arial"/>
                <w:lang w:eastAsia="ja-JP"/>
              </w:rPr>
            </w:pPr>
            <w:r w:rsidRPr="00562B7F">
              <w:rPr>
                <w:rFonts w:ascii="Arial" w:hAnsi="Arial" w:cs="Arial"/>
                <w:lang w:eastAsia="ja-JP"/>
              </w:rPr>
              <w:t>Mobiliser les capacités expressives du corps pour imaginer composer et interpréter une séquence artistique ou acrobatique</w:t>
            </w:r>
          </w:p>
          <w:p w14:paraId="153426AF" w14:textId="77777777" w:rsidR="002946F1" w:rsidRPr="00562B7F" w:rsidRDefault="002946F1" w:rsidP="00B264DB">
            <w:pPr>
              <w:pStyle w:val="NormalWeb"/>
              <w:widowControl w:val="0"/>
              <w:numPr>
                <w:ilvl w:val="0"/>
                <w:numId w:val="1"/>
              </w:numPr>
              <w:autoSpaceDE w:val="0"/>
              <w:autoSpaceDN w:val="0"/>
              <w:adjustRightInd w:val="0"/>
              <w:ind w:left="284" w:hanging="284"/>
              <w:rPr>
                <w:rFonts w:ascii="Arial" w:hAnsi="Arial" w:cs="Arial"/>
                <w:lang w:eastAsia="ja-JP"/>
              </w:rPr>
            </w:pPr>
            <w:r w:rsidRPr="00562B7F">
              <w:rPr>
                <w:rFonts w:ascii="Arial" w:hAnsi="Arial" w:cs="Arial"/>
                <w:lang w:eastAsia="ja-JP"/>
              </w:rPr>
              <w:t>Participer activement au sein d’un groupe, à l’élaboration et à la formalisation d’un projet artistique</w:t>
            </w:r>
          </w:p>
          <w:p w14:paraId="0CBCBDD3" w14:textId="77777777" w:rsidR="002946F1" w:rsidRPr="00562B7F" w:rsidRDefault="002946F1" w:rsidP="00B264DB">
            <w:pPr>
              <w:pStyle w:val="NormalWeb"/>
              <w:widowControl w:val="0"/>
              <w:numPr>
                <w:ilvl w:val="0"/>
                <w:numId w:val="1"/>
              </w:numPr>
              <w:autoSpaceDE w:val="0"/>
              <w:autoSpaceDN w:val="0"/>
              <w:adjustRightInd w:val="0"/>
              <w:ind w:left="284" w:hanging="284"/>
              <w:rPr>
                <w:rFonts w:ascii="Arial" w:hAnsi="Arial" w:cs="Arial"/>
                <w:lang w:eastAsia="ja-JP"/>
              </w:rPr>
            </w:pPr>
            <w:r w:rsidRPr="00562B7F">
              <w:rPr>
                <w:rFonts w:ascii="Arial" w:hAnsi="Arial" w:cs="Arial"/>
                <w:lang w:eastAsia="ja-JP"/>
              </w:rPr>
              <w:t>Apprécier des prestations en utilisant différents supports d’observation et d’analyse.</w:t>
            </w:r>
          </w:p>
        </w:tc>
      </w:tr>
      <w:tr w:rsidR="002946F1" w:rsidRPr="00562B7F" w14:paraId="28133773" w14:textId="77777777" w:rsidTr="00B264DB">
        <w:trPr>
          <w:trHeight w:val="288"/>
        </w:trPr>
        <w:tc>
          <w:tcPr>
            <w:tcW w:w="2518" w:type="dxa"/>
            <w:shd w:val="clear" w:color="auto" w:fill="FFFFFF" w:themeFill="background1"/>
          </w:tcPr>
          <w:p w14:paraId="6BFC5108" w14:textId="77777777" w:rsidR="002946F1" w:rsidRPr="00562B7F" w:rsidRDefault="002946F1" w:rsidP="00B264DB">
            <w:pPr>
              <w:rPr>
                <w:rFonts w:ascii="Arial" w:hAnsi="Arial" w:cs="Arial"/>
                <w:b/>
                <w:sz w:val="20"/>
                <w:szCs w:val="20"/>
              </w:rPr>
            </w:pPr>
            <w:r w:rsidRPr="00562B7F">
              <w:rPr>
                <w:rFonts w:ascii="Arial" w:hAnsi="Arial" w:cs="Arial"/>
                <w:b/>
                <w:sz w:val="20"/>
                <w:szCs w:val="20"/>
              </w:rPr>
              <w:t>Enjeux de d’apprentissage</w:t>
            </w:r>
          </w:p>
        </w:tc>
        <w:tc>
          <w:tcPr>
            <w:tcW w:w="4678" w:type="dxa"/>
            <w:shd w:val="clear" w:color="auto" w:fill="FFFFFF" w:themeFill="background1"/>
          </w:tcPr>
          <w:p w14:paraId="49BDA25B" w14:textId="77777777" w:rsidR="002946F1" w:rsidRPr="00562B7F" w:rsidRDefault="002946F1" w:rsidP="00B264DB">
            <w:pPr>
              <w:rPr>
                <w:rFonts w:ascii="Arial" w:hAnsi="Arial" w:cs="Arial"/>
                <w:b/>
                <w:noProof/>
                <w:sz w:val="20"/>
                <w:szCs w:val="20"/>
              </w:rPr>
            </w:pPr>
            <w:r w:rsidRPr="00562B7F">
              <w:rPr>
                <w:rFonts w:ascii="Arial" w:hAnsi="Arial" w:cs="Arial"/>
                <w:b/>
                <w:sz w:val="20"/>
                <w:szCs w:val="20"/>
              </w:rPr>
              <w:t>Ce qu’il y a à apprendre</w:t>
            </w:r>
          </w:p>
        </w:tc>
        <w:tc>
          <w:tcPr>
            <w:tcW w:w="9072" w:type="dxa"/>
            <w:gridSpan w:val="4"/>
            <w:shd w:val="clear" w:color="auto" w:fill="FFFFFF" w:themeFill="background1"/>
          </w:tcPr>
          <w:p w14:paraId="0B0A600B" w14:textId="77777777" w:rsidR="002946F1" w:rsidRPr="00562B7F" w:rsidRDefault="002946F1" w:rsidP="00B264DB">
            <w:pPr>
              <w:rPr>
                <w:rFonts w:ascii="Arial" w:hAnsi="Arial" w:cs="Arial"/>
                <w:b/>
                <w:noProof/>
                <w:sz w:val="20"/>
                <w:szCs w:val="20"/>
              </w:rPr>
            </w:pPr>
            <w:r w:rsidRPr="00562B7F">
              <w:rPr>
                <w:rFonts w:ascii="Arial" w:hAnsi="Arial" w:cs="Arial"/>
                <w:b/>
                <w:sz w:val="20"/>
                <w:szCs w:val="20"/>
              </w:rPr>
              <w:t>Repères de progressivité. L’étape 3 correspond au seuil attendu</w:t>
            </w:r>
          </w:p>
        </w:tc>
      </w:tr>
      <w:tr w:rsidR="002946F1" w:rsidRPr="00562B7F" w14:paraId="1AF14CAA" w14:textId="77777777" w:rsidTr="00B264DB">
        <w:trPr>
          <w:trHeight w:val="832"/>
        </w:trPr>
        <w:tc>
          <w:tcPr>
            <w:tcW w:w="2518" w:type="dxa"/>
            <w:shd w:val="clear" w:color="auto" w:fill="FFFFFF" w:themeFill="background1"/>
          </w:tcPr>
          <w:p w14:paraId="04430C20" w14:textId="77777777" w:rsidR="002946F1" w:rsidRPr="00562B7F" w:rsidRDefault="002946F1" w:rsidP="00B264DB">
            <w:pPr>
              <w:rPr>
                <w:rFonts w:ascii="Arial" w:hAnsi="Arial" w:cs="Arial"/>
                <w:sz w:val="20"/>
                <w:szCs w:val="20"/>
              </w:rPr>
            </w:pPr>
            <w:r w:rsidRPr="00562B7F">
              <w:rPr>
                <w:rFonts w:ascii="Arial" w:hAnsi="Arial" w:cs="Arial"/>
                <w:sz w:val="20"/>
                <w:szCs w:val="20"/>
              </w:rPr>
              <w:t>Choisir, parmi une variété des formes motrices stabilisées, les plus pertinentes pour capter l’attention</w:t>
            </w:r>
          </w:p>
          <w:p w14:paraId="1B34D6D5" w14:textId="77777777" w:rsidR="002946F1" w:rsidRPr="00562B7F" w:rsidRDefault="002946F1" w:rsidP="00B264DB">
            <w:pPr>
              <w:rPr>
                <w:rFonts w:ascii="Arial" w:hAnsi="Arial" w:cs="Arial"/>
                <w:sz w:val="20"/>
                <w:szCs w:val="20"/>
              </w:rPr>
            </w:pPr>
          </w:p>
          <w:p w14:paraId="55226D7D" w14:textId="77777777" w:rsidR="002946F1" w:rsidRPr="00562B7F" w:rsidRDefault="002946F1" w:rsidP="00B264DB">
            <w:pPr>
              <w:rPr>
                <w:rFonts w:ascii="Arial" w:hAnsi="Arial" w:cs="Arial"/>
                <w:sz w:val="20"/>
                <w:szCs w:val="20"/>
              </w:rPr>
            </w:pPr>
            <w:r w:rsidRPr="00562B7F">
              <w:rPr>
                <w:rFonts w:ascii="Arial" w:hAnsi="Arial" w:cs="Arial"/>
                <w:sz w:val="20"/>
                <w:szCs w:val="20"/>
              </w:rPr>
              <w:t>S’approprier les règles de composition et choisir les plus pertinentes pour capter l’attention et provoquer une émotion</w:t>
            </w:r>
          </w:p>
          <w:p w14:paraId="24CF3286" w14:textId="77777777" w:rsidR="002946F1" w:rsidRPr="00562B7F" w:rsidRDefault="002946F1" w:rsidP="00B264DB">
            <w:pPr>
              <w:rPr>
                <w:rFonts w:ascii="Arial" w:hAnsi="Arial" w:cs="Arial"/>
                <w:sz w:val="20"/>
                <w:szCs w:val="20"/>
              </w:rPr>
            </w:pPr>
          </w:p>
          <w:p w14:paraId="3BD1F78D" w14:textId="77777777" w:rsidR="002946F1" w:rsidRPr="00562B7F" w:rsidRDefault="002946F1" w:rsidP="00B264DB">
            <w:pPr>
              <w:rPr>
                <w:rFonts w:ascii="Arial" w:hAnsi="Arial" w:cs="Arial"/>
                <w:sz w:val="20"/>
                <w:szCs w:val="20"/>
              </w:rPr>
            </w:pPr>
            <w:r w:rsidRPr="00562B7F">
              <w:rPr>
                <w:rFonts w:ascii="Arial" w:hAnsi="Arial" w:cs="Arial"/>
                <w:sz w:val="20"/>
                <w:szCs w:val="20"/>
              </w:rPr>
              <w:t>Mettre en relation  des images avec d’autres outils de repérage pour construire un avis sur une prestation</w:t>
            </w:r>
          </w:p>
        </w:tc>
        <w:tc>
          <w:tcPr>
            <w:tcW w:w="4678" w:type="dxa"/>
            <w:shd w:val="clear" w:color="auto" w:fill="FFFFFF" w:themeFill="background1"/>
          </w:tcPr>
          <w:p w14:paraId="0112B0E5" w14:textId="77777777" w:rsidR="002946F1" w:rsidRPr="00562B7F" w:rsidRDefault="002946F1" w:rsidP="00B264DB">
            <w:pPr>
              <w:numPr>
                <w:ilvl w:val="0"/>
                <w:numId w:val="2"/>
              </w:numPr>
              <w:tabs>
                <w:tab w:val="clear" w:pos="502"/>
              </w:tabs>
              <w:ind w:left="142" w:hanging="218"/>
              <w:rPr>
                <w:rFonts w:ascii="Arial" w:hAnsi="Arial" w:cs="Arial"/>
                <w:sz w:val="20"/>
                <w:szCs w:val="20"/>
              </w:rPr>
            </w:pPr>
            <w:r w:rsidRPr="00562B7F">
              <w:rPr>
                <w:rFonts w:ascii="Arial" w:hAnsi="Arial" w:cs="Arial"/>
                <w:sz w:val="20"/>
                <w:szCs w:val="20"/>
              </w:rPr>
              <w:t>les figures et les éléments de liaison pour réaliser un enchaînement ou une chorégraphie sans temps mort</w:t>
            </w:r>
          </w:p>
          <w:p w14:paraId="4518FE68" w14:textId="77777777" w:rsidR="002946F1" w:rsidRPr="00562B7F" w:rsidRDefault="002946F1" w:rsidP="00B264DB">
            <w:pPr>
              <w:numPr>
                <w:ilvl w:val="0"/>
                <w:numId w:val="2"/>
              </w:numPr>
              <w:tabs>
                <w:tab w:val="clear" w:pos="502"/>
              </w:tabs>
              <w:ind w:left="142" w:hanging="218"/>
              <w:rPr>
                <w:rFonts w:ascii="Arial" w:hAnsi="Arial" w:cs="Arial"/>
                <w:sz w:val="20"/>
                <w:szCs w:val="20"/>
              </w:rPr>
            </w:pPr>
            <w:r w:rsidRPr="00562B7F">
              <w:rPr>
                <w:rFonts w:ascii="Arial" w:hAnsi="Arial" w:cs="Arial"/>
                <w:sz w:val="20"/>
                <w:szCs w:val="20"/>
              </w:rPr>
              <w:t>la construction d’une production « lisible » par le spectateur (processus de création, procédés de composition, etc.)</w:t>
            </w:r>
          </w:p>
          <w:p w14:paraId="6AE4C4FB" w14:textId="77777777" w:rsidR="002946F1" w:rsidRPr="00562B7F" w:rsidRDefault="002946F1" w:rsidP="00B264DB">
            <w:pPr>
              <w:numPr>
                <w:ilvl w:val="0"/>
                <w:numId w:val="2"/>
              </w:numPr>
              <w:tabs>
                <w:tab w:val="clear" w:pos="502"/>
              </w:tabs>
              <w:ind w:left="142" w:hanging="218"/>
              <w:rPr>
                <w:rFonts w:ascii="Arial" w:hAnsi="Arial" w:cs="Arial"/>
                <w:sz w:val="20"/>
                <w:szCs w:val="20"/>
              </w:rPr>
            </w:pPr>
            <w:r w:rsidRPr="00562B7F">
              <w:rPr>
                <w:rFonts w:ascii="Arial" w:hAnsi="Arial" w:cs="Arial"/>
                <w:sz w:val="20"/>
                <w:szCs w:val="20"/>
              </w:rPr>
              <w:t xml:space="preserve">le choix des réponses les plus adaptées pour </w:t>
            </w:r>
            <w:r w:rsidRPr="00562B7F">
              <w:rPr>
                <w:rFonts w:ascii="Arial" w:hAnsi="Arial" w:cs="Arial"/>
                <w:kern w:val="24"/>
                <w:sz w:val="20"/>
                <w:szCs w:val="20"/>
              </w:rPr>
              <w:t>présenter un projet concerté de l’enchaînement ou de la chorégraphie répondant aux contraintes (de production, des potentialités du groupe, du code de difficulté) dans le respect de sa sécurité et de celle des autres</w:t>
            </w:r>
          </w:p>
          <w:p w14:paraId="6565B762" w14:textId="77777777" w:rsidR="002946F1" w:rsidRPr="00562B7F" w:rsidRDefault="002946F1" w:rsidP="00B264DB">
            <w:pPr>
              <w:numPr>
                <w:ilvl w:val="0"/>
                <w:numId w:val="2"/>
              </w:numPr>
              <w:tabs>
                <w:tab w:val="clear" w:pos="502"/>
              </w:tabs>
              <w:ind w:left="142" w:hanging="218"/>
              <w:rPr>
                <w:rFonts w:ascii="Arial" w:hAnsi="Arial" w:cs="Arial"/>
                <w:sz w:val="20"/>
                <w:szCs w:val="20"/>
              </w:rPr>
            </w:pPr>
            <w:r w:rsidRPr="00562B7F">
              <w:rPr>
                <w:rFonts w:ascii="Arial" w:hAnsi="Arial" w:cs="Arial"/>
                <w:sz w:val="20"/>
                <w:szCs w:val="20"/>
              </w:rPr>
              <w:t>l’intégration « d’éléments scéniques » pertinents par rapport au projet (direction, orientation, etc.)</w:t>
            </w:r>
          </w:p>
          <w:p w14:paraId="0A392184" w14:textId="77777777" w:rsidR="002946F1" w:rsidRPr="00562B7F" w:rsidRDefault="002946F1" w:rsidP="00B264DB">
            <w:pPr>
              <w:numPr>
                <w:ilvl w:val="0"/>
                <w:numId w:val="2"/>
              </w:numPr>
              <w:tabs>
                <w:tab w:val="clear" w:pos="502"/>
              </w:tabs>
              <w:ind w:left="142" w:hanging="218"/>
              <w:rPr>
                <w:rFonts w:ascii="Arial" w:hAnsi="Arial" w:cs="Arial"/>
                <w:sz w:val="20"/>
                <w:szCs w:val="20"/>
              </w:rPr>
            </w:pPr>
            <w:r w:rsidRPr="00562B7F">
              <w:rPr>
                <w:rFonts w:ascii="Arial" w:hAnsi="Arial" w:cs="Arial"/>
                <w:color w:val="000000"/>
                <w:kern w:val="24"/>
                <w:sz w:val="20"/>
                <w:szCs w:val="20"/>
              </w:rPr>
              <w:t xml:space="preserve">les différents supports d’observation pour porter une appréciation objective : la construction des rôles (danseur, spectateur, chorégraphe) </w:t>
            </w:r>
          </w:p>
        </w:tc>
        <w:tc>
          <w:tcPr>
            <w:tcW w:w="2268" w:type="dxa"/>
            <w:shd w:val="clear" w:color="auto" w:fill="FFFFFF" w:themeFill="background1"/>
          </w:tcPr>
          <w:p w14:paraId="4CC7828B" w14:textId="77777777" w:rsidR="002946F1" w:rsidRPr="00562B7F" w:rsidRDefault="002946F1" w:rsidP="00B264DB">
            <w:pPr>
              <w:rPr>
                <w:rFonts w:ascii="Arial" w:hAnsi="Arial" w:cs="Arial"/>
                <w:sz w:val="20"/>
                <w:szCs w:val="20"/>
              </w:rPr>
            </w:pPr>
            <w:r w:rsidRPr="00562B7F">
              <w:rPr>
                <w:rFonts w:ascii="Arial" w:hAnsi="Arial" w:cs="Arial"/>
                <w:sz w:val="20"/>
                <w:szCs w:val="20"/>
              </w:rPr>
              <w:t>* les intentions sont la juxtaposition d’actions individuelles</w:t>
            </w:r>
          </w:p>
          <w:p w14:paraId="1CE7F42D" w14:textId="77777777" w:rsidR="002946F1" w:rsidRPr="00562B7F" w:rsidRDefault="002946F1" w:rsidP="00B264DB">
            <w:pPr>
              <w:rPr>
                <w:rFonts w:ascii="Arial" w:hAnsi="Arial" w:cs="Arial"/>
                <w:sz w:val="20"/>
                <w:szCs w:val="20"/>
              </w:rPr>
            </w:pPr>
            <w:r w:rsidRPr="00562B7F">
              <w:rPr>
                <w:rFonts w:ascii="Arial" w:hAnsi="Arial" w:cs="Arial"/>
                <w:sz w:val="20"/>
                <w:szCs w:val="20"/>
              </w:rPr>
              <w:t>* le niveau de difficulté est inadapté aux potentialités de l’individu ou du groupe </w:t>
            </w:r>
          </w:p>
          <w:p w14:paraId="098F287C" w14:textId="77777777" w:rsidR="002946F1" w:rsidRPr="00562B7F" w:rsidRDefault="002946F1" w:rsidP="00B264DB">
            <w:pPr>
              <w:rPr>
                <w:rFonts w:ascii="Arial" w:hAnsi="Arial" w:cs="Arial"/>
                <w:sz w:val="20"/>
                <w:szCs w:val="20"/>
              </w:rPr>
            </w:pPr>
            <w:r w:rsidRPr="00562B7F">
              <w:rPr>
                <w:rFonts w:ascii="Arial" w:hAnsi="Arial" w:cs="Arial"/>
                <w:sz w:val="20"/>
                <w:szCs w:val="20"/>
              </w:rPr>
              <w:t>* les observations ne font pas l’objet d’une modification des productions</w:t>
            </w:r>
          </w:p>
        </w:tc>
        <w:tc>
          <w:tcPr>
            <w:tcW w:w="2268" w:type="dxa"/>
            <w:shd w:val="clear" w:color="auto" w:fill="FFFFFF" w:themeFill="background1"/>
          </w:tcPr>
          <w:p w14:paraId="5410D11F" w14:textId="77777777" w:rsidR="002946F1" w:rsidRPr="00562B7F" w:rsidRDefault="002946F1" w:rsidP="00B264DB">
            <w:pPr>
              <w:rPr>
                <w:rFonts w:ascii="Arial" w:hAnsi="Arial" w:cs="Arial"/>
                <w:sz w:val="20"/>
                <w:szCs w:val="20"/>
              </w:rPr>
            </w:pPr>
            <w:r w:rsidRPr="00562B7F">
              <w:rPr>
                <w:rFonts w:ascii="Arial" w:hAnsi="Arial" w:cs="Arial"/>
                <w:sz w:val="20"/>
                <w:szCs w:val="20"/>
              </w:rPr>
              <w:t xml:space="preserve">* la dimension créative est absente : la motricité est usuelle ou fondée sur un modèle à copier : les acteurs sont engagés dans la répétition </w:t>
            </w:r>
          </w:p>
          <w:p w14:paraId="24337552" w14:textId="77777777" w:rsidR="002946F1" w:rsidRPr="00562B7F" w:rsidRDefault="002946F1" w:rsidP="00B264DB">
            <w:pPr>
              <w:rPr>
                <w:rFonts w:ascii="Arial" w:hAnsi="Arial" w:cs="Arial"/>
                <w:sz w:val="20"/>
                <w:szCs w:val="20"/>
              </w:rPr>
            </w:pPr>
            <w:r w:rsidRPr="00562B7F">
              <w:rPr>
                <w:rFonts w:ascii="Arial" w:hAnsi="Arial" w:cs="Arial"/>
                <w:sz w:val="20"/>
                <w:szCs w:val="20"/>
              </w:rPr>
              <w:t xml:space="preserve">* une interaction entre les acteurs et les observateurs débute </w:t>
            </w:r>
          </w:p>
          <w:p w14:paraId="65288335" w14:textId="77777777" w:rsidR="002946F1" w:rsidRPr="00562B7F" w:rsidRDefault="002946F1" w:rsidP="00B264DB">
            <w:pPr>
              <w:rPr>
                <w:rFonts w:ascii="Arial" w:hAnsi="Arial" w:cs="Arial"/>
                <w:sz w:val="20"/>
                <w:szCs w:val="20"/>
              </w:rPr>
            </w:pPr>
            <w:r w:rsidRPr="00562B7F">
              <w:rPr>
                <w:rFonts w:ascii="Arial" w:hAnsi="Arial" w:cs="Arial"/>
                <w:sz w:val="20"/>
                <w:szCs w:val="20"/>
              </w:rPr>
              <w:t>* la tenue des rôles est formelle plus que réelle</w:t>
            </w:r>
          </w:p>
        </w:tc>
        <w:tc>
          <w:tcPr>
            <w:tcW w:w="2268" w:type="dxa"/>
            <w:shd w:val="clear" w:color="auto" w:fill="FFFFFF" w:themeFill="background1"/>
          </w:tcPr>
          <w:p w14:paraId="5E3E7FD7" w14:textId="77777777" w:rsidR="002946F1" w:rsidRPr="00562B7F" w:rsidRDefault="002946F1" w:rsidP="00B264DB">
            <w:pPr>
              <w:rPr>
                <w:rFonts w:ascii="Arial" w:hAnsi="Arial" w:cs="Arial"/>
                <w:sz w:val="20"/>
                <w:szCs w:val="20"/>
              </w:rPr>
            </w:pPr>
            <w:r w:rsidRPr="00562B7F">
              <w:rPr>
                <w:rFonts w:ascii="Arial" w:hAnsi="Arial" w:cs="Arial"/>
                <w:sz w:val="20"/>
                <w:szCs w:val="20"/>
              </w:rPr>
              <w:t>* le respect des uns pour les autres permet une mise en débat des propositions</w:t>
            </w:r>
          </w:p>
          <w:p w14:paraId="1EBB310D" w14:textId="77777777" w:rsidR="002946F1" w:rsidRPr="00562B7F" w:rsidRDefault="002946F1" w:rsidP="00B264DB">
            <w:pPr>
              <w:rPr>
                <w:rFonts w:ascii="Arial" w:hAnsi="Arial" w:cs="Arial"/>
                <w:sz w:val="20"/>
                <w:szCs w:val="20"/>
              </w:rPr>
            </w:pPr>
            <w:r w:rsidRPr="00562B7F">
              <w:rPr>
                <w:rFonts w:ascii="Arial" w:hAnsi="Arial" w:cs="Arial"/>
                <w:sz w:val="20"/>
                <w:szCs w:val="20"/>
              </w:rPr>
              <w:t>* les éléments de composition de l’enchaînement ou de la chorégraphie deviennent lisibles</w:t>
            </w:r>
          </w:p>
          <w:p w14:paraId="0E558050" w14:textId="77777777" w:rsidR="002946F1" w:rsidRPr="00562B7F" w:rsidRDefault="002946F1" w:rsidP="00B264DB">
            <w:pPr>
              <w:rPr>
                <w:rFonts w:ascii="Arial" w:hAnsi="Arial" w:cs="Arial"/>
                <w:sz w:val="20"/>
                <w:szCs w:val="20"/>
              </w:rPr>
            </w:pPr>
            <w:r w:rsidRPr="00562B7F">
              <w:rPr>
                <w:rFonts w:ascii="Arial" w:hAnsi="Arial" w:cs="Arial"/>
                <w:sz w:val="20"/>
                <w:szCs w:val="20"/>
              </w:rPr>
              <w:t xml:space="preserve">* ils sont adaptés au « potentiel » disponible </w:t>
            </w:r>
          </w:p>
          <w:p w14:paraId="01284692" w14:textId="77777777" w:rsidR="002946F1" w:rsidRPr="00562B7F" w:rsidRDefault="002946F1" w:rsidP="00B264DB">
            <w:pPr>
              <w:rPr>
                <w:rFonts w:ascii="Arial" w:hAnsi="Arial" w:cs="Arial"/>
                <w:sz w:val="20"/>
                <w:szCs w:val="20"/>
              </w:rPr>
            </w:pPr>
            <w:r w:rsidRPr="00562B7F">
              <w:rPr>
                <w:rFonts w:ascii="Arial" w:hAnsi="Arial" w:cs="Arial"/>
                <w:sz w:val="20"/>
                <w:szCs w:val="20"/>
              </w:rPr>
              <w:t xml:space="preserve">* les remarques effectuées par les observateurs sont fondées sur des éléments qualitatifs </w:t>
            </w:r>
          </w:p>
          <w:p w14:paraId="012809C9" w14:textId="77777777" w:rsidR="002946F1" w:rsidRPr="00562B7F" w:rsidRDefault="002946F1" w:rsidP="00B264DB">
            <w:pPr>
              <w:rPr>
                <w:rFonts w:ascii="Arial" w:hAnsi="Arial" w:cs="Arial"/>
                <w:sz w:val="20"/>
                <w:szCs w:val="20"/>
              </w:rPr>
            </w:pPr>
            <w:r w:rsidRPr="00562B7F">
              <w:rPr>
                <w:rFonts w:ascii="Arial" w:hAnsi="Arial" w:cs="Arial"/>
                <w:sz w:val="20"/>
                <w:szCs w:val="20"/>
              </w:rPr>
              <w:t>* elles sont acceptées et intégrées</w:t>
            </w:r>
          </w:p>
        </w:tc>
        <w:tc>
          <w:tcPr>
            <w:tcW w:w="2268" w:type="dxa"/>
            <w:shd w:val="clear" w:color="auto" w:fill="FFFFFF" w:themeFill="background1"/>
          </w:tcPr>
          <w:p w14:paraId="780C2714" w14:textId="77777777" w:rsidR="002946F1" w:rsidRPr="00562B7F" w:rsidRDefault="002946F1" w:rsidP="00B264DB">
            <w:pPr>
              <w:rPr>
                <w:rFonts w:ascii="Arial" w:hAnsi="Arial" w:cs="Arial"/>
                <w:sz w:val="20"/>
                <w:szCs w:val="20"/>
              </w:rPr>
            </w:pPr>
            <w:r w:rsidRPr="00562B7F">
              <w:rPr>
                <w:rFonts w:ascii="Arial" w:hAnsi="Arial" w:cs="Arial"/>
                <w:sz w:val="20"/>
                <w:szCs w:val="20"/>
              </w:rPr>
              <w:t>* le groupe est structuré. Des rôles sont visibles</w:t>
            </w:r>
          </w:p>
          <w:p w14:paraId="05442569" w14:textId="77777777" w:rsidR="002946F1" w:rsidRPr="00562B7F" w:rsidRDefault="002946F1" w:rsidP="00B264DB">
            <w:pPr>
              <w:rPr>
                <w:rFonts w:ascii="Arial" w:hAnsi="Arial" w:cs="Arial"/>
                <w:sz w:val="20"/>
                <w:szCs w:val="20"/>
              </w:rPr>
            </w:pPr>
            <w:r w:rsidRPr="00562B7F">
              <w:rPr>
                <w:rFonts w:ascii="Arial" w:hAnsi="Arial" w:cs="Arial"/>
                <w:sz w:val="20"/>
                <w:szCs w:val="20"/>
              </w:rPr>
              <w:t xml:space="preserve">* les éléments constitutifs de la production ont fait l’objet de débats argumentés et de décisions collégiales </w:t>
            </w:r>
          </w:p>
          <w:p w14:paraId="225BF11B" w14:textId="77777777" w:rsidR="002946F1" w:rsidRPr="00562B7F" w:rsidRDefault="002946F1" w:rsidP="00B264DB">
            <w:pPr>
              <w:rPr>
                <w:rFonts w:ascii="Arial" w:hAnsi="Arial" w:cs="Arial"/>
                <w:sz w:val="20"/>
                <w:szCs w:val="20"/>
              </w:rPr>
            </w:pPr>
            <w:r w:rsidRPr="00562B7F">
              <w:rPr>
                <w:rFonts w:ascii="Arial" w:hAnsi="Arial" w:cs="Arial"/>
                <w:sz w:val="20"/>
                <w:szCs w:val="20"/>
              </w:rPr>
              <w:t>* l’observation par les pairs est demandée lorsque l’individu ou le groupe en ressentent le besoin</w:t>
            </w:r>
          </w:p>
          <w:p w14:paraId="3C3D68FC" w14:textId="77777777" w:rsidR="002946F1" w:rsidRPr="00562B7F" w:rsidRDefault="002946F1" w:rsidP="00B264DB">
            <w:pPr>
              <w:rPr>
                <w:rFonts w:ascii="Arial" w:hAnsi="Arial" w:cs="Arial"/>
                <w:sz w:val="20"/>
                <w:szCs w:val="20"/>
              </w:rPr>
            </w:pPr>
            <w:r w:rsidRPr="00562B7F">
              <w:rPr>
                <w:rFonts w:ascii="Arial" w:hAnsi="Arial" w:cs="Arial"/>
                <w:sz w:val="20"/>
                <w:szCs w:val="20"/>
              </w:rPr>
              <w:t>* les remarques faites sont le moteur de l’évolution du projet (individuel ou collectif)</w:t>
            </w:r>
          </w:p>
        </w:tc>
      </w:tr>
    </w:tbl>
    <w:p w14:paraId="3616C351" w14:textId="77777777" w:rsidR="00976796" w:rsidRDefault="00283A3D"/>
    <w:sectPr w:rsidR="00976796" w:rsidSect="003824C9">
      <w:pgSz w:w="16840" w:h="1190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
    <w:altName w:val="Arial Unicode MS"/>
    <w:panose1 w:val="00000000000000000000"/>
    <w:charset w:val="80"/>
    <w:family w:val="auto"/>
    <w:notTrueType/>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908BA"/>
    <w:multiLevelType w:val="hybridMultilevel"/>
    <w:tmpl w:val="DABAD094"/>
    <w:lvl w:ilvl="0" w:tplc="9A9853C8">
      <w:start w:val="1"/>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202337"/>
    <w:multiLevelType w:val="hybridMultilevel"/>
    <w:tmpl w:val="BB10E4DA"/>
    <w:lvl w:ilvl="0" w:tplc="713A2452">
      <w:numFmt w:val="bullet"/>
      <w:lvlText w:val="-"/>
      <w:lvlJc w:val="left"/>
      <w:pPr>
        <w:tabs>
          <w:tab w:val="num" w:pos="502"/>
        </w:tabs>
        <w:ind w:left="502" w:hanging="360"/>
      </w:pPr>
      <w:rPr>
        <w:rFonts w:ascii="Arial" w:eastAsia="MS ??" w:hAnsi="Arial"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C9"/>
    <w:rsid w:val="00283A3D"/>
    <w:rsid w:val="002946F1"/>
    <w:rsid w:val="003824C9"/>
    <w:rsid w:val="004052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532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C9"/>
    <w:rPr>
      <w:rFonts w:eastAsia="MS ??"/>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76796"/>
    <w:pPr>
      <w:spacing w:before="100" w:beforeAutospacing="1" w:after="119"/>
    </w:pPr>
    <w:rPr>
      <w:rFonts w:ascii="Times" w:eastAsia="Times" w:hAnsi="Times"/>
      <w:sz w:val="20"/>
      <w:szCs w:val="20"/>
    </w:rPr>
  </w:style>
  <w:style w:type="paragraph" w:customStyle="1" w:styleId="Style5">
    <w:name w:val="Style5"/>
    <w:basedOn w:val="NormalWeb"/>
    <w:next w:val="NormalWeb"/>
    <w:autoRedefine/>
    <w:rsid w:val="00976796"/>
    <w:pPr>
      <w:spacing w:after="100"/>
      <w:jc w:val="both"/>
    </w:pPr>
    <w:rPr>
      <w:rFonts w:ascii="Arial" w:hAnsi="Arial"/>
      <w:sz w:val="18"/>
    </w:rPr>
  </w:style>
  <w:style w:type="paragraph" w:customStyle="1" w:styleId="Style6">
    <w:name w:val="Style6"/>
    <w:basedOn w:val="NormalWeb"/>
    <w:autoRedefine/>
    <w:rsid w:val="00976796"/>
    <w:pPr>
      <w:spacing w:after="100"/>
      <w:jc w:val="both"/>
    </w:pPr>
    <w:rPr>
      <w:rFonts w:ascii="Arial" w:eastAsia="Times New Roman" w:hAnsi="Arial"/>
      <w:sz w:val="18"/>
    </w:rPr>
  </w:style>
  <w:style w:type="paragraph" w:styleId="Paragraphedeliste">
    <w:name w:val="List Paragraph"/>
    <w:basedOn w:val="Normal"/>
    <w:uiPriority w:val="99"/>
    <w:qFormat/>
    <w:rsid w:val="003824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C9"/>
    <w:rPr>
      <w:rFonts w:eastAsia="MS ??"/>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76796"/>
    <w:pPr>
      <w:spacing w:before="100" w:beforeAutospacing="1" w:after="119"/>
    </w:pPr>
    <w:rPr>
      <w:rFonts w:ascii="Times" w:eastAsia="Times" w:hAnsi="Times"/>
      <w:sz w:val="20"/>
      <w:szCs w:val="20"/>
    </w:rPr>
  </w:style>
  <w:style w:type="paragraph" w:customStyle="1" w:styleId="Style5">
    <w:name w:val="Style5"/>
    <w:basedOn w:val="NormalWeb"/>
    <w:next w:val="NormalWeb"/>
    <w:autoRedefine/>
    <w:rsid w:val="00976796"/>
    <w:pPr>
      <w:spacing w:after="100"/>
      <w:jc w:val="both"/>
    </w:pPr>
    <w:rPr>
      <w:rFonts w:ascii="Arial" w:hAnsi="Arial"/>
      <w:sz w:val="18"/>
    </w:rPr>
  </w:style>
  <w:style w:type="paragraph" w:customStyle="1" w:styleId="Style6">
    <w:name w:val="Style6"/>
    <w:basedOn w:val="NormalWeb"/>
    <w:autoRedefine/>
    <w:rsid w:val="00976796"/>
    <w:pPr>
      <w:spacing w:after="100"/>
      <w:jc w:val="both"/>
    </w:pPr>
    <w:rPr>
      <w:rFonts w:ascii="Arial" w:eastAsia="Times New Roman" w:hAnsi="Arial"/>
      <w:sz w:val="18"/>
    </w:rPr>
  </w:style>
  <w:style w:type="paragraph" w:styleId="Paragraphedeliste">
    <w:name w:val="List Paragraph"/>
    <w:basedOn w:val="Normal"/>
    <w:uiPriority w:val="99"/>
    <w:qFormat/>
    <w:rsid w:val="0038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2420</Characters>
  <Application>Microsoft Macintosh Word</Application>
  <DocSecurity>0</DocSecurity>
  <Lines>20</Lines>
  <Paragraphs>5</Paragraphs>
  <ScaleCrop>false</ScaleCrop>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Evain</dc:creator>
  <cp:keywords/>
  <dc:description/>
  <cp:lastModifiedBy>Delphine Evain</cp:lastModifiedBy>
  <cp:revision>2</cp:revision>
  <dcterms:created xsi:type="dcterms:W3CDTF">2016-07-01T10:42:00Z</dcterms:created>
  <dcterms:modified xsi:type="dcterms:W3CDTF">2016-07-01T10:42:00Z</dcterms:modified>
</cp:coreProperties>
</file>