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F22" w:rsidRDefault="00E31F54">
      <w:pPr>
        <w:pStyle w:val="Standard"/>
        <w:shd w:val="clear" w:color="auto" w:fill="666666"/>
        <w:snapToGrid w:val="0"/>
        <w:jc w:val="center"/>
        <w:rPr>
          <w:b/>
          <w:bCs/>
        </w:rPr>
      </w:pPr>
      <w:r>
        <w:rPr>
          <w:b/>
          <w:bCs/>
        </w:rPr>
        <w:t>S.6: soyez le guide !</w:t>
      </w:r>
    </w:p>
    <w:p w:rsidR="00280F22" w:rsidRDefault="00280F22">
      <w:pPr>
        <w:pStyle w:val="Standard"/>
        <w:snapToGrid w:val="0"/>
        <w:rPr>
          <w:b/>
          <w:bCs/>
          <w:sz w:val="22"/>
          <w:szCs w:val="22"/>
        </w:rPr>
      </w:pPr>
    </w:p>
    <w:p w:rsidR="00280F22" w:rsidRDefault="00E31F54">
      <w:pPr>
        <w:pStyle w:val="Standard"/>
        <w:snapToGrid w:val="0"/>
        <w:jc w:val="center"/>
        <w:rPr>
          <w:sz w:val="22"/>
          <w:szCs w:val="22"/>
        </w:rPr>
      </w:pPr>
      <w:r>
        <w:rPr>
          <w:sz w:val="22"/>
          <w:szCs w:val="22"/>
        </w:rPr>
        <w:t>Objectif: préparer la sortie à Paris le mercredi 16 avril 2014</w:t>
      </w:r>
    </w:p>
    <w:p w:rsidR="00280F22" w:rsidRDefault="00280F22">
      <w:pPr>
        <w:pStyle w:val="Standard"/>
        <w:snapToGrid w:val="0"/>
        <w:rPr>
          <w:sz w:val="22"/>
          <w:szCs w:val="22"/>
        </w:rPr>
      </w:pPr>
    </w:p>
    <w:p w:rsidR="00280F22" w:rsidRDefault="00280F22">
      <w:pPr>
        <w:pStyle w:val="Standard"/>
        <w:snapToGrid w:val="0"/>
        <w:rPr>
          <w:b/>
          <w:bCs/>
          <w:sz w:val="22"/>
          <w:szCs w:val="22"/>
        </w:rPr>
      </w:pPr>
    </w:p>
    <w:p w:rsidR="00280F22" w:rsidRDefault="00E31F54">
      <w:pPr>
        <w:pStyle w:val="Standard"/>
        <w:snapToGrid w:val="0"/>
        <w:rPr>
          <w:b/>
          <w:bCs/>
          <w:u w:val="single"/>
          <w:shd w:val="clear" w:color="auto" w:fill="666666"/>
        </w:rPr>
      </w:pPr>
      <w:r>
        <w:rPr>
          <w:b/>
          <w:bCs/>
          <w:u w:val="single"/>
          <w:shd w:val="clear" w:color="auto" w:fill="666666"/>
        </w:rPr>
        <w:t>1- Sujets d'exposé:</w:t>
      </w:r>
    </w:p>
    <w:p w:rsidR="00280F22" w:rsidRDefault="00280F22">
      <w:pPr>
        <w:pStyle w:val="Standard"/>
        <w:snapToGrid w:val="0"/>
        <w:rPr>
          <w:b/>
          <w:bCs/>
          <w:u w:val="single"/>
        </w:rPr>
      </w:pPr>
    </w:p>
    <w:p w:rsidR="00280F22" w:rsidRDefault="00E31F54">
      <w:pPr>
        <w:pStyle w:val="Standard"/>
        <w:snapToGrid w:val="0"/>
        <w:rPr>
          <w:sz w:val="22"/>
          <w:szCs w:val="22"/>
        </w:rPr>
      </w:pPr>
      <w:r>
        <w:rPr>
          <w:b/>
          <w:bCs/>
        </w:rPr>
        <w:t xml:space="preserve">1- Petit déjeuner aux arènes de Lutèce </w:t>
      </w:r>
      <w:proofErr w:type="gramStart"/>
      <w:r>
        <w:rPr>
          <w:i/>
          <w:iCs/>
        </w:rPr>
        <w:t>(</w:t>
      </w:r>
      <w:r>
        <w:rPr>
          <w:i/>
          <w:iCs/>
          <w:sz w:val="22"/>
          <w:szCs w:val="22"/>
        </w:rPr>
        <w:t xml:space="preserve"> 9</w:t>
      </w:r>
      <w:proofErr w:type="gramEnd"/>
      <w:r>
        <w:rPr>
          <w:i/>
          <w:iCs/>
          <w:sz w:val="22"/>
          <w:szCs w:val="22"/>
        </w:rPr>
        <w:t xml:space="preserve"> élèves )</w:t>
      </w:r>
    </w:p>
    <w:p w:rsidR="00280F22" w:rsidRDefault="00280F22">
      <w:pPr>
        <w:pStyle w:val="Standard"/>
        <w:snapToGrid w:val="0"/>
        <w:rPr>
          <w:sz w:val="22"/>
          <w:szCs w:val="22"/>
        </w:rPr>
      </w:pPr>
    </w:p>
    <w:p w:rsidR="00280F22" w:rsidRDefault="00E31F54">
      <w:pPr>
        <w:pStyle w:val="Standard"/>
        <w:snapToGrid w:val="0"/>
        <w:ind w:left="1418" w:hanging="360"/>
        <w:rPr>
          <w:sz w:val="22"/>
          <w:szCs w:val="22"/>
        </w:rPr>
      </w:pPr>
      <w:r>
        <w:rPr>
          <w:sz w:val="22"/>
          <w:szCs w:val="22"/>
        </w:rPr>
        <w:t>Qu'est-ce que Lutèce? Que reste-il de la ville antique? (3)</w:t>
      </w:r>
    </w:p>
    <w:p w:rsidR="00280F22" w:rsidRDefault="00280F22">
      <w:pPr>
        <w:pStyle w:val="Standard"/>
        <w:snapToGrid w:val="0"/>
        <w:ind w:left="1418" w:hanging="360"/>
        <w:rPr>
          <w:sz w:val="22"/>
          <w:szCs w:val="22"/>
        </w:rPr>
      </w:pPr>
    </w:p>
    <w:p w:rsidR="00280F22" w:rsidRDefault="00E31F54">
      <w:pPr>
        <w:pStyle w:val="Standard"/>
        <w:snapToGrid w:val="0"/>
        <w:ind w:left="1418" w:hanging="360"/>
        <w:rPr>
          <w:sz w:val="22"/>
          <w:szCs w:val="22"/>
        </w:rPr>
      </w:pPr>
      <w:r>
        <w:rPr>
          <w:sz w:val="22"/>
          <w:szCs w:val="22"/>
        </w:rPr>
        <w:t>Présentation des arènes  (3) : édifice, fonction.</w:t>
      </w:r>
    </w:p>
    <w:p w:rsidR="00280F22" w:rsidRDefault="00280F22">
      <w:pPr>
        <w:pStyle w:val="Standard"/>
        <w:snapToGrid w:val="0"/>
        <w:ind w:left="1418" w:hanging="360"/>
        <w:rPr>
          <w:sz w:val="22"/>
          <w:szCs w:val="22"/>
        </w:rPr>
      </w:pPr>
    </w:p>
    <w:p w:rsidR="00280F22" w:rsidRDefault="00E31F54">
      <w:pPr>
        <w:pStyle w:val="Standard"/>
        <w:snapToGrid w:val="0"/>
        <w:ind w:left="1418" w:hanging="360"/>
        <w:rPr>
          <w:sz w:val="22"/>
          <w:szCs w:val="22"/>
        </w:rPr>
      </w:pPr>
      <w:r>
        <w:rPr>
          <w:sz w:val="22"/>
          <w:szCs w:val="22"/>
        </w:rPr>
        <w:t>Lecture expressive des épitaphes de gladiateur traduites en cours (en latin et français), puis courte explication (3)</w:t>
      </w:r>
    </w:p>
    <w:p w:rsidR="00280F22" w:rsidRDefault="00280F22">
      <w:pPr>
        <w:pStyle w:val="Standard"/>
        <w:snapToGrid w:val="0"/>
        <w:ind w:left="1418" w:hanging="360"/>
        <w:rPr>
          <w:sz w:val="22"/>
          <w:szCs w:val="22"/>
        </w:rPr>
      </w:pPr>
    </w:p>
    <w:p w:rsidR="00280F22" w:rsidRDefault="00E31F54">
      <w:pPr>
        <w:pStyle w:val="Standard"/>
        <w:snapToGrid w:val="0"/>
      </w:pPr>
      <w:r>
        <w:rPr>
          <w:b/>
          <w:bCs/>
        </w:rPr>
        <w:t>2- Déjeuner au Louvre:</w:t>
      </w:r>
      <w:r>
        <w:rPr>
          <w:i/>
          <w:iCs/>
        </w:rPr>
        <w:t xml:space="preserve"> </w:t>
      </w:r>
      <w:proofErr w:type="gramStart"/>
      <w:r>
        <w:rPr>
          <w:i/>
          <w:iCs/>
          <w:sz w:val="22"/>
          <w:szCs w:val="22"/>
        </w:rPr>
        <w:t>( 9</w:t>
      </w:r>
      <w:proofErr w:type="gramEnd"/>
      <w:r>
        <w:rPr>
          <w:i/>
          <w:iCs/>
          <w:sz w:val="22"/>
          <w:szCs w:val="22"/>
        </w:rPr>
        <w:t xml:space="preserve"> élèves )</w:t>
      </w:r>
    </w:p>
    <w:p w:rsidR="00280F22" w:rsidRDefault="00280F22">
      <w:pPr>
        <w:pStyle w:val="Standard"/>
        <w:snapToGrid w:val="0"/>
        <w:rPr>
          <w:i/>
          <w:iCs/>
          <w:sz w:val="22"/>
          <w:szCs w:val="22"/>
        </w:rPr>
      </w:pPr>
    </w:p>
    <w:p w:rsidR="00280F22" w:rsidRDefault="00E31F54">
      <w:pPr>
        <w:pStyle w:val="Standard"/>
        <w:snapToGrid w:val="0"/>
        <w:ind w:left="1418" w:hanging="360"/>
        <w:rPr>
          <w:sz w:val="22"/>
          <w:szCs w:val="22"/>
        </w:rPr>
      </w:pPr>
      <w:r>
        <w:rPr>
          <w:sz w:val="22"/>
          <w:szCs w:val="22"/>
        </w:rPr>
        <w:t xml:space="preserve">Présentez le musée du Louvre et soyez les </w:t>
      </w:r>
      <w:proofErr w:type="spellStart"/>
      <w:r>
        <w:rPr>
          <w:sz w:val="22"/>
          <w:szCs w:val="22"/>
        </w:rPr>
        <w:t>Arianes</w:t>
      </w:r>
      <w:proofErr w:type="spellEnd"/>
      <w:r>
        <w:rPr>
          <w:sz w:val="22"/>
          <w:szCs w:val="22"/>
        </w:rPr>
        <w:t xml:space="preserve"> chargées de nous conduire dans le labyrinthe du Louvre et d'organiser les groupes (3).</w:t>
      </w:r>
    </w:p>
    <w:p w:rsidR="00280F22" w:rsidRDefault="00280F22">
      <w:pPr>
        <w:pStyle w:val="Standard"/>
        <w:snapToGrid w:val="0"/>
        <w:ind w:left="1418" w:hanging="360"/>
        <w:rPr>
          <w:sz w:val="22"/>
          <w:szCs w:val="22"/>
        </w:rPr>
      </w:pPr>
    </w:p>
    <w:p w:rsidR="00280F22" w:rsidRDefault="00E31F54">
      <w:pPr>
        <w:pStyle w:val="Standard"/>
        <w:snapToGrid w:val="0"/>
        <w:ind w:left="1418" w:hanging="360"/>
        <w:rPr>
          <w:sz w:val="22"/>
          <w:szCs w:val="22"/>
        </w:rPr>
      </w:pPr>
      <w:r>
        <w:rPr>
          <w:sz w:val="22"/>
          <w:szCs w:val="22"/>
        </w:rPr>
        <w:t xml:space="preserve">Choisissez six </w:t>
      </w:r>
      <w:proofErr w:type="spellStart"/>
      <w:r>
        <w:rPr>
          <w:sz w:val="22"/>
          <w:szCs w:val="22"/>
        </w:rPr>
        <w:t>oeuvres</w:t>
      </w:r>
      <w:proofErr w:type="spellEnd"/>
      <w:r>
        <w:rPr>
          <w:sz w:val="22"/>
          <w:szCs w:val="22"/>
        </w:rPr>
        <w:t xml:space="preserve"> majeures dans le département « Antiquités égyptiennes » et analysez-les. (3)</w:t>
      </w:r>
    </w:p>
    <w:p w:rsidR="00280F22" w:rsidRDefault="00280F22">
      <w:pPr>
        <w:pStyle w:val="Standard"/>
        <w:snapToGrid w:val="0"/>
        <w:ind w:left="709"/>
        <w:rPr>
          <w:sz w:val="22"/>
          <w:szCs w:val="22"/>
        </w:rPr>
      </w:pPr>
    </w:p>
    <w:p w:rsidR="00280F22" w:rsidRDefault="00E31F54">
      <w:pPr>
        <w:pStyle w:val="Standard"/>
        <w:snapToGrid w:val="0"/>
        <w:ind w:left="1418" w:hanging="360"/>
        <w:rPr>
          <w:sz w:val="22"/>
          <w:szCs w:val="22"/>
        </w:rPr>
      </w:pPr>
      <w:r>
        <w:rPr>
          <w:sz w:val="22"/>
          <w:szCs w:val="22"/>
        </w:rPr>
        <w:t xml:space="preserve">Choisissez quatre </w:t>
      </w:r>
      <w:proofErr w:type="spellStart"/>
      <w:r>
        <w:rPr>
          <w:sz w:val="22"/>
          <w:szCs w:val="22"/>
        </w:rPr>
        <w:t>oeuvres</w:t>
      </w:r>
      <w:proofErr w:type="spellEnd"/>
      <w:r>
        <w:rPr>
          <w:sz w:val="22"/>
          <w:szCs w:val="22"/>
        </w:rPr>
        <w:t xml:space="preserve"> incontournables dans les autres départements et analysez-les. (3)</w:t>
      </w:r>
    </w:p>
    <w:p w:rsidR="00280F22" w:rsidRDefault="00280F22">
      <w:pPr>
        <w:pStyle w:val="Standard"/>
        <w:snapToGrid w:val="0"/>
        <w:rPr>
          <w:sz w:val="22"/>
          <w:szCs w:val="22"/>
        </w:rPr>
      </w:pPr>
    </w:p>
    <w:p w:rsidR="00280F22" w:rsidRDefault="00E31F54">
      <w:pPr>
        <w:pStyle w:val="Standard"/>
        <w:snapToGrid w:val="0"/>
        <w:rPr>
          <w:b/>
          <w:bCs/>
          <w:sz w:val="22"/>
          <w:szCs w:val="22"/>
        </w:rPr>
      </w:pPr>
      <w:r>
        <w:rPr>
          <w:b/>
          <w:bCs/>
        </w:rPr>
        <w:t>3- Goûter à Montmartre:</w:t>
      </w:r>
      <w:r>
        <w:rPr>
          <w:b/>
          <w:b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(2 élèves)</w:t>
      </w:r>
    </w:p>
    <w:p w:rsidR="00280F22" w:rsidRDefault="00280F22">
      <w:pPr>
        <w:pStyle w:val="Standard"/>
        <w:snapToGrid w:val="0"/>
        <w:rPr>
          <w:sz w:val="22"/>
          <w:szCs w:val="22"/>
        </w:rPr>
      </w:pPr>
    </w:p>
    <w:p w:rsidR="00280F22" w:rsidRDefault="00E31F54">
      <w:pPr>
        <w:pStyle w:val="Standard"/>
        <w:snapToGrid w:val="0"/>
        <w:rPr>
          <w:sz w:val="22"/>
          <w:szCs w:val="22"/>
        </w:rPr>
      </w:pPr>
      <w:r>
        <w:rPr>
          <w:sz w:val="22"/>
          <w:szCs w:val="22"/>
        </w:rPr>
        <w:t>Présentez ce quartier parisien, haut lieu historique et artistique.</w:t>
      </w:r>
    </w:p>
    <w:p w:rsidR="00280F22" w:rsidRDefault="00280F22">
      <w:pPr>
        <w:pStyle w:val="Standard"/>
        <w:snapToGrid w:val="0"/>
        <w:rPr>
          <w:i/>
          <w:iCs/>
          <w:sz w:val="22"/>
          <w:szCs w:val="22"/>
        </w:rPr>
      </w:pPr>
    </w:p>
    <w:p w:rsidR="00280F22" w:rsidRDefault="00280F22">
      <w:pPr>
        <w:pStyle w:val="Standard"/>
        <w:snapToGrid w:val="0"/>
        <w:rPr>
          <w:sz w:val="22"/>
          <w:szCs w:val="22"/>
        </w:rPr>
      </w:pPr>
    </w:p>
    <w:p w:rsidR="00280F22" w:rsidRDefault="00E31F54">
      <w:pPr>
        <w:pStyle w:val="Standard"/>
        <w:snapToGrid w:val="0"/>
        <w:rPr>
          <w:b/>
          <w:bCs/>
          <w:u w:val="single"/>
          <w:shd w:val="clear" w:color="auto" w:fill="666666"/>
        </w:rPr>
      </w:pPr>
      <w:r>
        <w:rPr>
          <w:b/>
          <w:bCs/>
          <w:u w:val="single"/>
          <w:shd w:val="clear" w:color="auto" w:fill="666666"/>
        </w:rPr>
        <w:t>2- Modalités de travail</w:t>
      </w:r>
    </w:p>
    <w:p w:rsidR="00280F22" w:rsidRDefault="00280F22">
      <w:pPr>
        <w:pStyle w:val="Standard"/>
        <w:snapToGrid w:val="0"/>
        <w:rPr>
          <w:b/>
          <w:bCs/>
          <w:sz w:val="22"/>
          <w:szCs w:val="22"/>
        </w:rPr>
      </w:pPr>
    </w:p>
    <w:p w:rsidR="00280F22" w:rsidRDefault="00E31F54">
      <w:pPr>
        <w:pStyle w:val="Standard"/>
        <w:snapToGrid w:val="0"/>
        <w:rPr>
          <w:sz w:val="22"/>
          <w:szCs w:val="22"/>
        </w:rPr>
      </w:pPr>
      <w:r>
        <w:rPr>
          <w:sz w:val="22"/>
          <w:szCs w:val="22"/>
        </w:rPr>
        <w:t>Présentation des exposés en classe</w:t>
      </w:r>
    </w:p>
    <w:p w:rsidR="00280F22" w:rsidRDefault="00E31F54">
      <w:pPr>
        <w:pStyle w:val="Standard"/>
        <w:numPr>
          <w:ilvl w:val="0"/>
          <w:numId w:val="2"/>
        </w:numPr>
        <w:snapToGrid w:val="0"/>
        <w:ind w:left="2127"/>
        <w:rPr>
          <w:sz w:val="22"/>
          <w:szCs w:val="22"/>
        </w:rPr>
      </w:pPr>
      <w:r>
        <w:rPr>
          <w:sz w:val="22"/>
          <w:szCs w:val="22"/>
        </w:rPr>
        <w:t>lundi 31 mars: exposé 1</w:t>
      </w:r>
    </w:p>
    <w:p w:rsidR="00280F22" w:rsidRDefault="00E31F54">
      <w:pPr>
        <w:pStyle w:val="Standard"/>
        <w:numPr>
          <w:ilvl w:val="0"/>
          <w:numId w:val="2"/>
        </w:numPr>
        <w:ind w:left="2127"/>
        <w:rPr>
          <w:sz w:val="22"/>
          <w:szCs w:val="22"/>
        </w:rPr>
      </w:pPr>
      <w:r>
        <w:rPr>
          <w:sz w:val="22"/>
          <w:szCs w:val="22"/>
        </w:rPr>
        <w:t>jeudi 02 avril: exposé 2</w:t>
      </w:r>
    </w:p>
    <w:p w:rsidR="00280F22" w:rsidRDefault="00E31F54">
      <w:pPr>
        <w:pStyle w:val="Standard"/>
        <w:numPr>
          <w:ilvl w:val="0"/>
          <w:numId w:val="2"/>
        </w:numPr>
        <w:snapToGrid w:val="0"/>
        <w:ind w:left="2127"/>
        <w:rPr>
          <w:sz w:val="22"/>
          <w:szCs w:val="22"/>
        </w:rPr>
      </w:pPr>
      <w:r>
        <w:rPr>
          <w:sz w:val="22"/>
          <w:szCs w:val="22"/>
        </w:rPr>
        <w:t>lundi 07 avril: exposé 3</w:t>
      </w:r>
    </w:p>
    <w:p w:rsidR="00280F22" w:rsidRDefault="00280F22">
      <w:pPr>
        <w:pStyle w:val="Standard"/>
        <w:numPr>
          <w:ilvl w:val="0"/>
          <w:numId w:val="2"/>
        </w:numPr>
        <w:snapToGrid w:val="0"/>
        <w:ind w:left="2127"/>
        <w:rPr>
          <w:sz w:val="22"/>
          <w:szCs w:val="22"/>
        </w:rPr>
      </w:pPr>
    </w:p>
    <w:p w:rsidR="00280F22" w:rsidRDefault="00E31F54">
      <w:pPr>
        <w:pStyle w:val="Standard"/>
        <w:snapToGri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Ce travail est noté. En voici les critères de réussite:</w:t>
      </w:r>
    </w:p>
    <w:p w:rsidR="00280F22" w:rsidRDefault="00280F22">
      <w:pPr>
        <w:pStyle w:val="Standard"/>
        <w:snapToGrid w:val="0"/>
        <w:rPr>
          <w:b/>
          <w:bCs/>
          <w:sz w:val="22"/>
          <w:szCs w:val="22"/>
        </w:rPr>
      </w:pPr>
    </w:p>
    <w:p w:rsidR="00280F22" w:rsidRDefault="00280F22">
      <w:pPr>
        <w:pStyle w:val="Standard"/>
        <w:snapToGrid w:val="0"/>
        <w:rPr>
          <w:b/>
          <w:bCs/>
          <w:sz w:val="22"/>
          <w:szCs w:val="22"/>
        </w:rPr>
      </w:pPr>
    </w:p>
    <w:p w:rsidR="00280F22" w:rsidRPr="00CA488E" w:rsidRDefault="00E31F54">
      <w:pPr>
        <w:pStyle w:val="Standard"/>
        <w:snapToGrid w:val="0"/>
        <w:rPr>
          <w:b/>
          <w:bCs/>
          <w:u w:val="single"/>
          <w:shd w:val="clear" w:color="auto" w:fill="666666"/>
        </w:rPr>
      </w:pPr>
      <w:r>
        <w:rPr>
          <w:b/>
          <w:bCs/>
          <w:u w:val="single"/>
          <w:shd w:val="clear" w:color="auto" w:fill="666666"/>
        </w:rPr>
        <w:t>3- Bibliographie:</w:t>
      </w:r>
      <w:bookmarkStart w:id="0" w:name="_GoBack"/>
      <w:bookmarkEnd w:id="0"/>
    </w:p>
    <w:p w:rsidR="00280F22" w:rsidRDefault="00E31F54">
      <w:pPr>
        <w:pStyle w:val="Standard"/>
        <w:snapToGri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Exposé 1:</w:t>
      </w:r>
    </w:p>
    <w:p w:rsidR="00280F22" w:rsidRDefault="00375266">
      <w:pPr>
        <w:pStyle w:val="Standard"/>
        <w:numPr>
          <w:ilvl w:val="0"/>
          <w:numId w:val="3"/>
        </w:numPr>
        <w:snapToGrid w:val="0"/>
        <w:rPr>
          <w:b/>
          <w:bCs/>
          <w:sz w:val="22"/>
          <w:szCs w:val="22"/>
        </w:rPr>
      </w:pPr>
      <w:hyperlink r:id="rId8" w:history="1">
        <w:r w:rsidR="00E31F54">
          <w:rPr>
            <w:b/>
            <w:bCs/>
            <w:sz w:val="22"/>
            <w:szCs w:val="22"/>
          </w:rPr>
          <w:t>http://www.paris.culture.fr/</w:t>
        </w:r>
      </w:hyperlink>
    </w:p>
    <w:p w:rsidR="00280F22" w:rsidRDefault="00E31F54">
      <w:pPr>
        <w:pStyle w:val="Standard"/>
        <w:numPr>
          <w:ilvl w:val="0"/>
          <w:numId w:val="3"/>
        </w:numPr>
        <w:snapToGri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Leonard, Pascal. </w:t>
      </w:r>
      <w:r>
        <w:rPr>
          <w:b/>
          <w:bCs/>
          <w:i/>
          <w:sz w:val="22"/>
          <w:szCs w:val="22"/>
        </w:rPr>
        <w:t xml:space="preserve">Quand Paris s'appelait </w:t>
      </w:r>
      <w:proofErr w:type="gramStart"/>
      <w:r>
        <w:rPr>
          <w:b/>
          <w:bCs/>
          <w:i/>
          <w:sz w:val="22"/>
          <w:szCs w:val="22"/>
        </w:rPr>
        <w:t>Lutèce</w:t>
      </w:r>
      <w:r>
        <w:rPr>
          <w:b/>
          <w:bCs/>
          <w:sz w:val="22"/>
          <w:szCs w:val="22"/>
        </w:rPr>
        <w:t xml:space="preserve"> .</w:t>
      </w:r>
      <w:proofErr w:type="gramEnd"/>
      <w:r>
        <w:rPr>
          <w:b/>
          <w:bCs/>
          <w:sz w:val="22"/>
          <w:szCs w:val="22"/>
        </w:rPr>
        <w:t xml:space="preserve"> France 3, 1999. 04 min 36 s. </w:t>
      </w:r>
      <w:hyperlink r:id="rId9" w:history="1">
        <w:r>
          <w:rPr>
            <w:b/>
            <w:bCs/>
            <w:sz w:val="22"/>
            <w:szCs w:val="22"/>
          </w:rPr>
          <w:t>http://www.culture.gouv.fr/</w:t>
        </w:r>
      </w:hyperlink>
    </w:p>
    <w:p w:rsidR="00280F22" w:rsidRDefault="00375266">
      <w:pPr>
        <w:pStyle w:val="Standard"/>
        <w:snapToGrid w:val="0"/>
        <w:rPr>
          <w:b/>
          <w:bCs/>
          <w:sz w:val="22"/>
          <w:szCs w:val="22"/>
        </w:rPr>
      </w:pPr>
      <w:hyperlink r:id="rId10" w:history="1">
        <w:r w:rsidR="00E31F54">
          <w:rPr>
            <w:b/>
            <w:bCs/>
            <w:sz w:val="22"/>
            <w:szCs w:val="22"/>
          </w:rPr>
          <w:t>culture/</w:t>
        </w:r>
        <w:proofErr w:type="spellStart"/>
        <w:r w:rsidR="00E31F54">
          <w:rPr>
            <w:b/>
            <w:bCs/>
            <w:sz w:val="22"/>
            <w:szCs w:val="22"/>
          </w:rPr>
          <w:t>arcnat</w:t>
        </w:r>
        <w:proofErr w:type="spellEnd"/>
        <w:r w:rsidR="00E31F54">
          <w:rPr>
            <w:b/>
            <w:bCs/>
            <w:sz w:val="22"/>
            <w:szCs w:val="22"/>
          </w:rPr>
          <w:t>/paris/</w:t>
        </w:r>
      </w:hyperlink>
      <w:r w:rsidR="00E31F54">
        <w:rPr>
          <w:b/>
          <w:bCs/>
          <w:sz w:val="22"/>
          <w:szCs w:val="22"/>
        </w:rPr>
        <w:t xml:space="preserve"> </w:t>
      </w:r>
      <w:r w:rsidR="00E31F54">
        <w:rPr>
          <w:b/>
          <w:bCs/>
          <w:i/>
          <w:iCs/>
          <w:sz w:val="22"/>
          <w:szCs w:val="22"/>
        </w:rPr>
        <w:t>[en ligne sur lesite.tv, accès à partir du portail du CDI]</w:t>
      </w:r>
    </w:p>
    <w:p w:rsidR="00280F22" w:rsidRDefault="00E31F54">
      <w:pPr>
        <w:pStyle w:val="Standard"/>
        <w:numPr>
          <w:ilvl w:val="0"/>
          <w:numId w:val="3"/>
        </w:numPr>
        <w:snapToGrid w:val="0"/>
      </w:pPr>
      <w:r>
        <w:rPr>
          <w:b/>
          <w:bCs/>
          <w:sz w:val="22"/>
          <w:szCs w:val="22"/>
        </w:rPr>
        <w:t xml:space="preserve">CARBONNIERES, PHILIPPE DE. </w:t>
      </w:r>
      <w:r>
        <w:rPr>
          <w:b/>
          <w:bCs/>
          <w:i/>
          <w:sz w:val="22"/>
          <w:szCs w:val="22"/>
        </w:rPr>
        <w:t>LUTECE PARIS VILLE ROMAINE</w:t>
      </w:r>
      <w:r>
        <w:rPr>
          <w:b/>
          <w:bCs/>
          <w:sz w:val="22"/>
          <w:szCs w:val="22"/>
        </w:rPr>
        <w:t xml:space="preserve">. Gallimard, 1997, 128 p. ; cote </w:t>
      </w:r>
      <w:bookmarkStart w:id="1" w:name="status0530949u_23763"/>
      <w:bookmarkEnd w:id="1"/>
      <w:r>
        <w:t>936.4 CAR L</w:t>
      </w:r>
    </w:p>
    <w:p w:rsidR="00280F22" w:rsidRDefault="00E31F54">
      <w:pPr>
        <w:pStyle w:val="Standard"/>
        <w:numPr>
          <w:ilvl w:val="0"/>
          <w:numId w:val="3"/>
        </w:numPr>
        <w:snapToGrid w:val="0"/>
      </w:pPr>
      <w:r>
        <w:rPr>
          <w:b/>
          <w:bCs/>
          <w:sz w:val="22"/>
          <w:szCs w:val="22"/>
        </w:rPr>
        <w:t xml:space="preserve">DELL, Bruno. </w:t>
      </w:r>
      <w:r>
        <w:rPr>
          <w:b/>
          <w:bCs/>
          <w:i/>
          <w:sz w:val="22"/>
          <w:szCs w:val="22"/>
        </w:rPr>
        <w:t>HISTOIRE DE PARIS</w:t>
      </w:r>
      <w:r>
        <w:rPr>
          <w:b/>
          <w:bCs/>
          <w:sz w:val="22"/>
          <w:szCs w:val="22"/>
        </w:rPr>
        <w:t xml:space="preserve">. Hatier, 1994, 123 p. ; cote </w:t>
      </w:r>
      <w:bookmarkStart w:id="2" w:name="status0530949u_21769"/>
      <w:bookmarkEnd w:id="2"/>
      <w:r>
        <w:t>914.436 DEL H</w:t>
      </w:r>
    </w:p>
    <w:p w:rsidR="00280F22" w:rsidRDefault="00280F22">
      <w:pPr>
        <w:pStyle w:val="Standard"/>
        <w:snapToGrid w:val="0"/>
        <w:rPr>
          <w:b/>
          <w:bCs/>
          <w:sz w:val="21"/>
          <w:szCs w:val="21"/>
        </w:rPr>
      </w:pPr>
    </w:p>
    <w:p w:rsidR="00280F22" w:rsidRDefault="00E31F54">
      <w:pPr>
        <w:pStyle w:val="Standard"/>
        <w:snapToGrid w:val="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Exposé 2 :</w:t>
      </w:r>
    </w:p>
    <w:p w:rsidR="00280F22" w:rsidRDefault="00E31F54">
      <w:pPr>
        <w:pStyle w:val="Standard"/>
        <w:numPr>
          <w:ilvl w:val="0"/>
          <w:numId w:val="4"/>
        </w:numPr>
        <w:snapToGrid w:val="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site officiel du Louvre: </w:t>
      </w:r>
      <w:hyperlink r:id="rId11" w:history="1">
        <w:r>
          <w:rPr>
            <w:b/>
            <w:bCs/>
            <w:sz w:val="21"/>
            <w:szCs w:val="21"/>
          </w:rPr>
          <w:t>http://www.louvre.fr</w:t>
        </w:r>
      </w:hyperlink>
    </w:p>
    <w:p w:rsidR="00280F22" w:rsidRDefault="00E31F54">
      <w:pPr>
        <w:pStyle w:val="Standard"/>
        <w:numPr>
          <w:ilvl w:val="0"/>
          <w:numId w:val="4"/>
        </w:numPr>
      </w:pPr>
      <w:r>
        <w:rPr>
          <w:i/>
        </w:rPr>
        <w:t>500 CHEFS-D'OEUVRE DU LOUVRE</w:t>
      </w:r>
      <w:r>
        <w:t>. EDITIONS SCALA, 1999, 526 p. ; cote 750</w:t>
      </w:r>
    </w:p>
    <w:p w:rsidR="00280F22" w:rsidRDefault="00E31F54">
      <w:pPr>
        <w:pStyle w:val="Standard"/>
        <w:numPr>
          <w:ilvl w:val="0"/>
          <w:numId w:val="4"/>
        </w:numPr>
        <w:snapToGrid w:val="0"/>
      </w:pPr>
      <w:proofErr w:type="spellStart"/>
      <w:r>
        <w:rPr>
          <w:b/>
          <w:bCs/>
          <w:sz w:val="21"/>
          <w:szCs w:val="21"/>
        </w:rPr>
        <w:t>Cassan</w:t>
      </w:r>
      <w:proofErr w:type="spellEnd"/>
      <w:r>
        <w:rPr>
          <w:b/>
          <w:bCs/>
          <w:sz w:val="21"/>
          <w:szCs w:val="21"/>
        </w:rPr>
        <w:t xml:space="preserve">, Maryvonne. </w:t>
      </w:r>
      <w:r>
        <w:rPr>
          <w:b/>
          <w:bCs/>
          <w:i/>
          <w:sz w:val="21"/>
          <w:szCs w:val="21"/>
        </w:rPr>
        <w:t>Histoire des arts avec le Louvre</w:t>
      </w:r>
      <w:r>
        <w:rPr>
          <w:b/>
          <w:bCs/>
          <w:sz w:val="21"/>
          <w:szCs w:val="21"/>
        </w:rPr>
        <w:t>. Hatier, 2011</w:t>
      </w:r>
      <w:proofErr w:type="gramStart"/>
      <w:r>
        <w:rPr>
          <w:b/>
          <w:bCs/>
          <w:sz w:val="21"/>
          <w:szCs w:val="21"/>
        </w:rPr>
        <w:t>..</w:t>
      </w:r>
      <w:proofErr w:type="gramEnd"/>
      <w:r>
        <w:rPr>
          <w:b/>
          <w:bCs/>
          <w:sz w:val="21"/>
          <w:szCs w:val="21"/>
        </w:rPr>
        <w:t xml:space="preserve"> 360 p. + 1 CD-Rom ; Cote </w:t>
      </w:r>
      <w:bookmarkStart w:id="3" w:name="status0530949u_2703"/>
      <w:bookmarkEnd w:id="3"/>
      <w:r>
        <w:t>PE 372.6 CAS H</w:t>
      </w:r>
    </w:p>
    <w:p w:rsidR="00280F22" w:rsidRDefault="00280F22">
      <w:pPr>
        <w:pStyle w:val="Standard"/>
        <w:snapToGrid w:val="0"/>
        <w:rPr>
          <w:b/>
          <w:bCs/>
          <w:sz w:val="21"/>
          <w:szCs w:val="21"/>
        </w:rPr>
      </w:pPr>
    </w:p>
    <w:p w:rsidR="00280F22" w:rsidRDefault="00E31F54">
      <w:pPr>
        <w:pStyle w:val="Standard"/>
        <w:snapToGrid w:val="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Exposé 3:</w:t>
      </w:r>
    </w:p>
    <w:p w:rsidR="00280F22" w:rsidRDefault="00280F22">
      <w:pPr>
        <w:pStyle w:val="Standard"/>
        <w:snapToGrid w:val="0"/>
        <w:rPr>
          <w:b/>
          <w:bCs/>
          <w:sz w:val="21"/>
          <w:szCs w:val="21"/>
        </w:rPr>
      </w:pPr>
    </w:p>
    <w:p w:rsidR="00280F22" w:rsidRDefault="00E31F54">
      <w:pPr>
        <w:pStyle w:val="Standard"/>
      </w:pPr>
      <w:r>
        <w:t xml:space="preserve">- </w:t>
      </w:r>
      <w:r>
        <w:rPr>
          <w:b/>
          <w:bCs/>
          <w:sz w:val="21"/>
          <w:szCs w:val="21"/>
        </w:rPr>
        <w:t xml:space="preserve">Blondeau, Denis. Le quartier Montmartre. </w:t>
      </w:r>
      <w:r>
        <w:rPr>
          <w:b/>
          <w:bCs/>
          <w:i/>
          <w:sz w:val="21"/>
          <w:szCs w:val="21"/>
        </w:rPr>
        <w:t>Histoire en ligne</w:t>
      </w:r>
      <w:r>
        <w:rPr>
          <w:b/>
          <w:bCs/>
          <w:sz w:val="21"/>
          <w:szCs w:val="21"/>
        </w:rPr>
        <w:t xml:space="preserve"> [en ligne]. 17-09-2006. [10p.]. </w:t>
      </w:r>
      <w:hyperlink r:id="rId12" w:history="1">
        <w:r>
          <w:rPr>
            <w:b/>
            <w:bCs/>
            <w:sz w:val="21"/>
            <w:szCs w:val="21"/>
          </w:rPr>
          <w:t>http://www.histoire-en-ligne.com/spip.php?article452</w:t>
        </w:r>
      </w:hyperlink>
    </w:p>
    <w:p w:rsidR="00280F22" w:rsidRDefault="00E31F54">
      <w:pPr>
        <w:pStyle w:val="Standard"/>
      </w:pPr>
      <w:r>
        <w:rPr>
          <w:b/>
          <w:bCs/>
          <w:sz w:val="21"/>
          <w:szCs w:val="21"/>
        </w:rPr>
        <w:t xml:space="preserve">- site du syndicat d'initiative de Montmartre : </w:t>
      </w:r>
      <w:hyperlink r:id="rId13" w:history="1">
        <w:r>
          <w:rPr>
            <w:b/>
            <w:bCs/>
            <w:sz w:val="21"/>
            <w:szCs w:val="21"/>
          </w:rPr>
          <w:t>http://www.montmartre-guide.com/</w:t>
        </w:r>
      </w:hyperlink>
    </w:p>
    <w:p w:rsidR="00280F22" w:rsidRDefault="00E31F54" w:rsidP="00684095">
      <w:pPr>
        <w:pStyle w:val="Standard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- site encyclopédique bien connu... </w:t>
      </w:r>
      <w:hyperlink r:id="rId14" w:history="1">
        <w:r>
          <w:rPr>
            <w:b/>
            <w:bCs/>
            <w:sz w:val="21"/>
            <w:szCs w:val="21"/>
          </w:rPr>
          <w:t>http://fr.wikipedia.org/wiki/Montmartre</w:t>
        </w:r>
      </w:hyperlink>
    </w:p>
    <w:sectPr w:rsidR="00280F22">
      <w:pgSz w:w="11906" w:h="16838"/>
      <w:pgMar w:top="510" w:right="510" w:bottom="510" w:left="5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266" w:rsidRDefault="00375266">
      <w:r>
        <w:separator/>
      </w:r>
    </w:p>
  </w:endnote>
  <w:endnote w:type="continuationSeparator" w:id="0">
    <w:p w:rsidR="00375266" w:rsidRDefault="00375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, 'Arial Unicode MS'">
    <w:charset w:val="0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266" w:rsidRDefault="00375266">
      <w:r>
        <w:rPr>
          <w:color w:val="000000"/>
        </w:rPr>
        <w:ptab w:relativeTo="margin" w:alignment="center" w:leader="none"/>
      </w:r>
    </w:p>
  </w:footnote>
  <w:footnote w:type="continuationSeparator" w:id="0">
    <w:p w:rsidR="00375266" w:rsidRDefault="00375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748A1"/>
    <w:multiLevelType w:val="multilevel"/>
    <w:tmpl w:val="261C7B3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>
    <w:nsid w:val="0C165B72"/>
    <w:multiLevelType w:val="multilevel"/>
    <w:tmpl w:val="C09CDA88"/>
    <w:styleLink w:val="WW8Num5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</w:rPr>
    </w:lvl>
  </w:abstractNum>
  <w:abstractNum w:abstractNumId="2">
    <w:nsid w:val="3B28304E"/>
    <w:multiLevelType w:val="multilevel"/>
    <w:tmpl w:val="ADA4146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>
    <w:nsid w:val="3C990465"/>
    <w:multiLevelType w:val="multilevel"/>
    <w:tmpl w:val="92D2093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80F22"/>
    <w:rsid w:val="00280F22"/>
    <w:rsid w:val="00375266"/>
    <w:rsid w:val="00412C75"/>
    <w:rsid w:val="00684095"/>
    <w:rsid w:val="00CA488E"/>
    <w:rsid w:val="00E3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WW8Num5z0">
    <w:name w:val="WW8Num5z0"/>
    <w:rPr>
      <w:rFonts w:ascii="Symbol" w:hAnsi="Symbol" w:cs="OpenSymbol, 'Arial Unicode MS'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5">
    <w:name w:val="WW8Num5"/>
    <w:basedOn w:val="Aucuneliste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WW8Num5z0">
    <w:name w:val="WW8Num5z0"/>
    <w:rPr>
      <w:rFonts w:ascii="Symbol" w:hAnsi="Symbol" w:cs="OpenSymbol, 'Arial Unicode MS'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5">
    <w:name w:val="WW8Num5"/>
    <w:basedOn w:val="Aucunelist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is.culture.fr/" TargetMode="External"/><Relationship Id="rId13" Type="http://schemas.openxmlformats.org/officeDocument/2006/relationships/hyperlink" Target="http://www.montmartre-guide.c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histoire-en-ligne.com/spip.php?article45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louvre.fr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ulture.gouv.fr/culture/arcnat/pari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ulture.gouv.fr/" TargetMode="External"/><Relationship Id="rId14" Type="http://schemas.openxmlformats.org/officeDocument/2006/relationships/hyperlink" Target="http://fr.wikipedia.org/wiki/Montmartr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Magali Péan</dc:creator>
  <cp:lastModifiedBy>Yoan Fontaine</cp:lastModifiedBy>
  <cp:revision>2</cp:revision>
  <cp:lastPrinted>2014-01-22T10:21:00Z</cp:lastPrinted>
  <dcterms:created xsi:type="dcterms:W3CDTF">2014-04-07T19:17:00Z</dcterms:created>
  <dcterms:modified xsi:type="dcterms:W3CDTF">2014-04-07T19:17:00Z</dcterms:modified>
</cp:coreProperties>
</file>