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64" w:rsidRDefault="00A7248A" w:rsidP="0051109F">
      <w:pPr>
        <w:pStyle w:val="Titre"/>
      </w:pPr>
      <w:r>
        <w:t>Fiche d’aide à l</w:t>
      </w:r>
      <w:r w:rsidR="0017002E">
        <w:t xml:space="preserve">a mise en place </w:t>
      </w:r>
      <w:r>
        <w:t>de l’accompagnement personnalisé en collège</w:t>
      </w:r>
    </w:p>
    <w:p w:rsidR="00A7248A" w:rsidRDefault="00A7248A" w:rsidP="00A7248A">
      <w:pPr>
        <w:pStyle w:val="Sansinterligne"/>
      </w:pPr>
    </w:p>
    <w:p w:rsidR="00D5087B" w:rsidRDefault="00452A9C" w:rsidP="00452A9C">
      <w:pPr>
        <w:pStyle w:val="Sansinterligne"/>
        <w:jc w:val="both"/>
      </w:pPr>
      <w:r>
        <w:t xml:space="preserve">Cette fiche donne des exemples d’activités ou de situations qui peuvent s’inscrire dans l’accompagnement personnalisé. D’autres situations peuvent bien sûr être développées, il s’agit d’une liste non exhaustive. </w:t>
      </w:r>
    </w:p>
    <w:p w:rsidR="00D5087B" w:rsidRDefault="00D5087B" w:rsidP="00A7248A">
      <w:pPr>
        <w:pStyle w:val="Sansinterligne"/>
      </w:pPr>
    </w:p>
    <w:p w:rsidR="0051109F" w:rsidRPr="00AF5F9B" w:rsidRDefault="00AE2971" w:rsidP="00AB24E6">
      <w:pPr>
        <w:pStyle w:val="Citationintense"/>
        <w:rPr>
          <w:strike/>
        </w:rPr>
      </w:pPr>
      <w:r>
        <w:t xml:space="preserve">Axe 1 : </w:t>
      </w:r>
      <w:r w:rsidR="003142B2">
        <w:t>U</w:t>
      </w:r>
      <w:r>
        <w:t xml:space="preserve">n enseignement qui s’inscrit </w:t>
      </w:r>
      <w:r w:rsidRPr="003142B2">
        <w:t>dans un projet d’établissement.</w:t>
      </w:r>
    </w:p>
    <w:p w:rsidR="00AE2971" w:rsidRDefault="0017002E" w:rsidP="00A7248A">
      <w:pPr>
        <w:pStyle w:val="Sansinterligne"/>
      </w:pPr>
      <w:r>
        <w:t>Quelques pistes pour mettre en place un projet d’accompagnement personnalisé au sein de l’établissement.</w:t>
      </w:r>
    </w:p>
    <w:p w:rsidR="0017002E" w:rsidRDefault="0017002E" w:rsidP="00A7248A">
      <w:pPr>
        <w:pStyle w:val="Sansinterligne"/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17002E" w:rsidTr="0017002E">
        <w:tc>
          <w:tcPr>
            <w:tcW w:w="2660" w:type="dxa"/>
            <w:vMerge w:val="restart"/>
          </w:tcPr>
          <w:p w:rsidR="0017002E" w:rsidRDefault="0017002E" w:rsidP="00D5087B">
            <w:pPr>
              <w:pStyle w:val="Sansinterligne"/>
            </w:pPr>
            <w:r>
              <w:t>L’enseignement participe à l’acquisition du socle</w:t>
            </w:r>
          </w:p>
        </w:tc>
        <w:tc>
          <w:tcPr>
            <w:tcW w:w="6662" w:type="dxa"/>
          </w:tcPr>
          <w:p w:rsidR="0017002E" w:rsidRDefault="0017002E" w:rsidP="00D5087B">
            <w:pPr>
              <w:pStyle w:val="Sansinterligne"/>
            </w:pPr>
            <w:r>
              <w:t>Il s’appuie sur des attendus de fin de cycle disciplinaires</w:t>
            </w:r>
          </w:p>
        </w:tc>
      </w:tr>
      <w:tr w:rsidR="0017002E" w:rsidTr="0017002E">
        <w:tc>
          <w:tcPr>
            <w:tcW w:w="2660" w:type="dxa"/>
            <w:vMerge/>
          </w:tcPr>
          <w:p w:rsidR="0017002E" w:rsidRDefault="0017002E" w:rsidP="005F6447">
            <w:pPr>
              <w:pStyle w:val="Sansinterligne"/>
            </w:pPr>
          </w:p>
        </w:tc>
        <w:tc>
          <w:tcPr>
            <w:tcW w:w="6662" w:type="dxa"/>
          </w:tcPr>
          <w:p w:rsidR="0017002E" w:rsidRDefault="0017002E" w:rsidP="0017002E">
            <w:pPr>
              <w:pStyle w:val="Sansinterligne"/>
            </w:pPr>
            <w:r>
              <w:t>Il vise des compétences transversales mobilisées par tous</w:t>
            </w:r>
          </w:p>
        </w:tc>
      </w:tr>
      <w:tr w:rsidR="0017002E" w:rsidTr="0017002E">
        <w:tc>
          <w:tcPr>
            <w:tcW w:w="2660" w:type="dxa"/>
            <w:vMerge w:val="restart"/>
          </w:tcPr>
          <w:p w:rsidR="0017002E" w:rsidRDefault="0017002E" w:rsidP="005F6447">
            <w:pPr>
              <w:pStyle w:val="Sansinterligne"/>
            </w:pPr>
          </w:p>
          <w:p w:rsidR="0017002E" w:rsidRDefault="0017002E" w:rsidP="005F6447">
            <w:pPr>
              <w:pStyle w:val="Sansinterligne"/>
            </w:pPr>
            <w:r>
              <w:t>Un enseignement concerté</w:t>
            </w:r>
          </w:p>
        </w:tc>
        <w:tc>
          <w:tcPr>
            <w:tcW w:w="6662" w:type="dxa"/>
          </w:tcPr>
          <w:p w:rsidR="0017002E" w:rsidRDefault="0017002E" w:rsidP="005F6447">
            <w:pPr>
              <w:pStyle w:val="Sansinterligne"/>
            </w:pPr>
            <w:r>
              <w:t>Les compétences travaillées sont connues de tous, déterminées en concertation en fonction des priorités de l’établissement</w:t>
            </w:r>
            <w:r w:rsidR="00452A9C">
              <w:t xml:space="preserve"> (profil des élèves, besoins spécifiques des élèves…)</w:t>
            </w:r>
          </w:p>
        </w:tc>
      </w:tr>
      <w:tr w:rsidR="0017002E" w:rsidTr="0017002E">
        <w:tc>
          <w:tcPr>
            <w:tcW w:w="2660" w:type="dxa"/>
            <w:vMerge/>
          </w:tcPr>
          <w:p w:rsidR="0017002E" w:rsidRDefault="0017002E" w:rsidP="005F6447">
            <w:pPr>
              <w:pStyle w:val="Sansinterligne"/>
            </w:pPr>
          </w:p>
        </w:tc>
        <w:tc>
          <w:tcPr>
            <w:tcW w:w="6662" w:type="dxa"/>
          </w:tcPr>
          <w:p w:rsidR="0017002E" w:rsidRDefault="0017002E" w:rsidP="005F6447">
            <w:pPr>
              <w:pStyle w:val="Sansinterligne"/>
            </w:pPr>
            <w:r>
              <w:t>Le projet d’accompagnement personnalisé est formalisé, il définit les disciplines concernées et les temps consacrés à cet enseignement</w:t>
            </w:r>
          </w:p>
        </w:tc>
      </w:tr>
      <w:tr w:rsidR="0017002E" w:rsidTr="0017002E">
        <w:tc>
          <w:tcPr>
            <w:tcW w:w="2660" w:type="dxa"/>
            <w:vMerge/>
          </w:tcPr>
          <w:p w:rsidR="0017002E" w:rsidRDefault="0017002E" w:rsidP="005F6447">
            <w:pPr>
              <w:pStyle w:val="Sansinterligne"/>
            </w:pPr>
          </w:p>
        </w:tc>
        <w:tc>
          <w:tcPr>
            <w:tcW w:w="6662" w:type="dxa"/>
          </w:tcPr>
          <w:p w:rsidR="0017002E" w:rsidRDefault="0017002E" w:rsidP="0017002E">
            <w:pPr>
              <w:pStyle w:val="Sansinterligne"/>
            </w:pPr>
            <w:r>
              <w:t xml:space="preserve">Le projet est communiqué aux parents et aux élèves </w:t>
            </w:r>
          </w:p>
        </w:tc>
      </w:tr>
      <w:tr w:rsidR="0017002E" w:rsidTr="0017002E">
        <w:tc>
          <w:tcPr>
            <w:tcW w:w="2660" w:type="dxa"/>
            <w:vMerge/>
          </w:tcPr>
          <w:p w:rsidR="0017002E" w:rsidRDefault="0017002E" w:rsidP="005F6447">
            <w:pPr>
              <w:pStyle w:val="Sansinterligne"/>
            </w:pPr>
          </w:p>
        </w:tc>
        <w:tc>
          <w:tcPr>
            <w:tcW w:w="6662" w:type="dxa"/>
          </w:tcPr>
          <w:p w:rsidR="0017002E" w:rsidRDefault="0017002E" w:rsidP="005F6447">
            <w:pPr>
              <w:pStyle w:val="Sansinterligne"/>
            </w:pPr>
            <w:r>
              <w:t>L’évaluation des progrès réalisés est partagée</w:t>
            </w:r>
            <w:r w:rsidR="00452A9C">
              <w:t xml:space="preserve"> (une grille de suivi commune, des échelles descriptives communes…)</w:t>
            </w:r>
          </w:p>
        </w:tc>
      </w:tr>
    </w:tbl>
    <w:p w:rsidR="00594E3D" w:rsidRDefault="00594E3D" w:rsidP="00A7248A">
      <w:pPr>
        <w:pStyle w:val="Sansinterligne"/>
      </w:pPr>
    </w:p>
    <w:p w:rsidR="0017002E" w:rsidRDefault="0017002E" w:rsidP="00A7248A">
      <w:pPr>
        <w:pStyle w:val="Sansinterligne"/>
      </w:pPr>
    </w:p>
    <w:p w:rsidR="007F47E4" w:rsidRPr="00CE1EF0" w:rsidRDefault="007F47E4" w:rsidP="00AB24E6">
      <w:pPr>
        <w:pStyle w:val="Citationintense"/>
      </w:pPr>
      <w:r w:rsidRPr="00CE1EF0">
        <w:t xml:space="preserve">Axe 2 : </w:t>
      </w:r>
      <w:r w:rsidR="00CE1EF0">
        <w:t>Un enseignement qui permet à l’élève d’être a</w:t>
      </w:r>
      <w:r w:rsidRPr="00CE1EF0">
        <w:t>cteur de ses apprentissages.</w:t>
      </w:r>
    </w:p>
    <w:p w:rsidR="007F47E4" w:rsidRDefault="00452A9C" w:rsidP="00A7248A">
      <w:pPr>
        <w:pStyle w:val="Sansinterligne"/>
      </w:pPr>
      <w:r>
        <w:t>Des exemples d’activités qui permettent à l’élève d’être acteur de ses apprentissages.</w:t>
      </w:r>
    </w:p>
    <w:p w:rsidR="007F47E4" w:rsidRDefault="007F47E4" w:rsidP="00A7248A">
      <w:pPr>
        <w:pStyle w:val="Sansinterligne"/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52A9C" w:rsidTr="00452A9C">
        <w:tc>
          <w:tcPr>
            <w:tcW w:w="9322" w:type="dxa"/>
          </w:tcPr>
          <w:p w:rsidR="00452A9C" w:rsidRDefault="00452A9C" w:rsidP="00B40FA5">
            <w:pPr>
              <w:pStyle w:val="Sansinterligne"/>
            </w:pPr>
            <w:r>
              <w:t>L’élève participe à la détermination des critères de réussite.</w:t>
            </w:r>
          </w:p>
        </w:tc>
      </w:tr>
      <w:tr w:rsidR="00452A9C" w:rsidTr="00452A9C">
        <w:tc>
          <w:tcPr>
            <w:tcW w:w="9322" w:type="dxa"/>
          </w:tcPr>
          <w:p w:rsidR="00452A9C" w:rsidRDefault="00452A9C" w:rsidP="00B40FA5">
            <w:pPr>
              <w:pStyle w:val="Sansinterligne"/>
            </w:pPr>
            <w:r>
              <w:t>L’élève s’interroge sur sa propre démarche, la confronte à celles de ses camarades.</w:t>
            </w:r>
          </w:p>
        </w:tc>
      </w:tr>
      <w:tr w:rsidR="00452A9C" w:rsidTr="00452A9C">
        <w:tc>
          <w:tcPr>
            <w:tcW w:w="9322" w:type="dxa"/>
          </w:tcPr>
          <w:p w:rsidR="00452A9C" w:rsidRDefault="00452A9C" w:rsidP="005F6447">
            <w:pPr>
              <w:pStyle w:val="Sansinterligne"/>
            </w:pPr>
            <w:r>
              <w:t>L’élève participe à la trace écrite des apprentissages réalisés.</w:t>
            </w:r>
          </w:p>
        </w:tc>
      </w:tr>
      <w:tr w:rsidR="00452A9C" w:rsidTr="00452A9C">
        <w:tc>
          <w:tcPr>
            <w:tcW w:w="9322" w:type="dxa"/>
          </w:tcPr>
          <w:p w:rsidR="00452A9C" w:rsidRDefault="00452A9C" w:rsidP="005F6447">
            <w:pPr>
              <w:pStyle w:val="Sansinterligne"/>
            </w:pPr>
            <w:r>
              <w:t>L’élève entre dans un processus d’auto-évaluation.</w:t>
            </w:r>
          </w:p>
        </w:tc>
      </w:tr>
      <w:tr w:rsidR="00452A9C" w:rsidTr="00452A9C">
        <w:tc>
          <w:tcPr>
            <w:tcW w:w="9322" w:type="dxa"/>
          </w:tcPr>
          <w:p w:rsidR="00452A9C" w:rsidRDefault="00452A9C" w:rsidP="000C4E45">
            <w:pPr>
              <w:pStyle w:val="Sansinterligne"/>
            </w:pPr>
            <w:r>
              <w:t>L’élève analyse ses résultats, prend conscience des progrès réalisés, des points à améliorer.</w:t>
            </w:r>
          </w:p>
        </w:tc>
      </w:tr>
      <w:tr w:rsidR="00CC249D" w:rsidTr="00452A9C">
        <w:tc>
          <w:tcPr>
            <w:tcW w:w="9322" w:type="dxa"/>
          </w:tcPr>
          <w:p w:rsidR="00CC249D" w:rsidRDefault="00CC249D" w:rsidP="000C4E45">
            <w:pPr>
              <w:pStyle w:val="Sansinterligne"/>
            </w:pPr>
            <w:r w:rsidRPr="00CC249D">
              <w:t>L’élève apprend à ré-exploiter les compétences dans d’autres contextes</w:t>
            </w:r>
          </w:p>
        </w:tc>
      </w:tr>
    </w:tbl>
    <w:p w:rsidR="007F47E4" w:rsidRDefault="007F47E4" w:rsidP="00A7248A">
      <w:pPr>
        <w:pStyle w:val="Sansinterligne"/>
      </w:pPr>
    </w:p>
    <w:p w:rsidR="003142B2" w:rsidRDefault="003142B2" w:rsidP="00A7248A">
      <w:pPr>
        <w:pStyle w:val="Sansinterligne"/>
      </w:pPr>
    </w:p>
    <w:p w:rsidR="003142B2" w:rsidRDefault="003142B2" w:rsidP="00A7248A">
      <w:pPr>
        <w:pStyle w:val="Sansinterligne"/>
      </w:pPr>
    </w:p>
    <w:p w:rsidR="0006227B" w:rsidRDefault="0006227B" w:rsidP="00A7248A">
      <w:pPr>
        <w:pStyle w:val="Sansinterligne"/>
      </w:pPr>
    </w:p>
    <w:p w:rsidR="0006227B" w:rsidRDefault="0006227B" w:rsidP="00A7248A">
      <w:pPr>
        <w:pStyle w:val="Sansinterligne"/>
      </w:pPr>
    </w:p>
    <w:p w:rsidR="003142B2" w:rsidRDefault="003142B2" w:rsidP="00A7248A">
      <w:pPr>
        <w:pStyle w:val="Sansinterligne"/>
      </w:pPr>
    </w:p>
    <w:p w:rsidR="007F47E4" w:rsidRDefault="000C4E45" w:rsidP="00AB24E6">
      <w:pPr>
        <w:pStyle w:val="Citationintense"/>
      </w:pPr>
      <w:r>
        <w:lastRenderedPageBreak/>
        <w:t>Axe 3 : Un enseignement qui répond à l’hétérogénéité des élèves.</w:t>
      </w:r>
    </w:p>
    <w:p w:rsidR="000C4E45" w:rsidRDefault="00452A9C" w:rsidP="00A7248A">
      <w:pPr>
        <w:pStyle w:val="Sansinterligne"/>
      </w:pPr>
      <w:r>
        <w:t>Des exemples de situations qui permettraient de répondre à l’hétérogénéité des groupes.</w:t>
      </w:r>
    </w:p>
    <w:p w:rsidR="000C4E45" w:rsidRDefault="000C4E45" w:rsidP="00A7248A">
      <w:pPr>
        <w:pStyle w:val="Sansinterligne"/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452A9C" w:rsidTr="00452A9C">
        <w:tc>
          <w:tcPr>
            <w:tcW w:w="3936" w:type="dxa"/>
            <w:vMerge w:val="restart"/>
          </w:tcPr>
          <w:p w:rsidR="00452A9C" w:rsidRDefault="00452A9C" w:rsidP="00E15C6F">
            <w:pPr>
              <w:pStyle w:val="Sansinterligne"/>
            </w:pPr>
          </w:p>
          <w:p w:rsidR="00452A9C" w:rsidRDefault="00452A9C" w:rsidP="00E15C6F">
            <w:pPr>
              <w:pStyle w:val="Sansinterligne"/>
            </w:pPr>
            <w:r>
              <w:t xml:space="preserve">Des besoins identifiés </w:t>
            </w:r>
          </w:p>
        </w:tc>
        <w:tc>
          <w:tcPr>
            <w:tcW w:w="5386" w:type="dxa"/>
          </w:tcPr>
          <w:p w:rsidR="00452A9C" w:rsidRDefault="00452A9C" w:rsidP="005F6447">
            <w:pPr>
              <w:pStyle w:val="Sansinterligne"/>
            </w:pPr>
            <w:r>
              <w:t>Lors d’une évaluation diagnostique</w:t>
            </w:r>
          </w:p>
        </w:tc>
      </w:tr>
      <w:tr w:rsidR="00452A9C" w:rsidTr="00452A9C">
        <w:tc>
          <w:tcPr>
            <w:tcW w:w="3936" w:type="dxa"/>
            <w:vMerge/>
          </w:tcPr>
          <w:p w:rsidR="00452A9C" w:rsidRDefault="00452A9C" w:rsidP="005F6447">
            <w:pPr>
              <w:pStyle w:val="Sansinterligne"/>
            </w:pPr>
          </w:p>
        </w:tc>
        <w:tc>
          <w:tcPr>
            <w:tcW w:w="5386" w:type="dxa"/>
          </w:tcPr>
          <w:p w:rsidR="00452A9C" w:rsidRDefault="00452A9C" w:rsidP="005F6447">
            <w:pPr>
              <w:pStyle w:val="Sansinterligne"/>
            </w:pPr>
            <w:r>
              <w:t>Lors d’échanges avec les collègues</w:t>
            </w:r>
          </w:p>
        </w:tc>
      </w:tr>
      <w:tr w:rsidR="00452A9C" w:rsidTr="00452A9C">
        <w:tc>
          <w:tcPr>
            <w:tcW w:w="3936" w:type="dxa"/>
            <w:vMerge/>
          </w:tcPr>
          <w:p w:rsidR="00452A9C" w:rsidRDefault="00452A9C" w:rsidP="005F6447">
            <w:pPr>
              <w:pStyle w:val="Sansinterligne"/>
            </w:pPr>
          </w:p>
        </w:tc>
        <w:tc>
          <w:tcPr>
            <w:tcW w:w="5386" w:type="dxa"/>
          </w:tcPr>
          <w:p w:rsidR="00452A9C" w:rsidRDefault="00452A9C" w:rsidP="005F6447">
            <w:pPr>
              <w:pStyle w:val="Sansinterligne"/>
            </w:pPr>
            <w:r>
              <w:t>Lors d’observations</w:t>
            </w:r>
          </w:p>
        </w:tc>
      </w:tr>
      <w:tr w:rsidR="00452A9C" w:rsidTr="00452A9C">
        <w:tc>
          <w:tcPr>
            <w:tcW w:w="3936" w:type="dxa"/>
            <w:vMerge w:val="restart"/>
          </w:tcPr>
          <w:p w:rsidR="00452A9C" w:rsidRDefault="00452A9C" w:rsidP="005F6447">
            <w:pPr>
              <w:pStyle w:val="Sansinterligne"/>
            </w:pPr>
          </w:p>
          <w:p w:rsidR="00452A9C" w:rsidRDefault="00452A9C" w:rsidP="005F6447">
            <w:pPr>
              <w:pStyle w:val="Sansinterligne"/>
            </w:pPr>
            <w:r>
              <w:t>Une différenciation en fonction des besoins</w:t>
            </w:r>
          </w:p>
        </w:tc>
        <w:tc>
          <w:tcPr>
            <w:tcW w:w="5386" w:type="dxa"/>
          </w:tcPr>
          <w:p w:rsidR="00452A9C" w:rsidRDefault="00452A9C" w:rsidP="005F6447">
            <w:pPr>
              <w:pStyle w:val="Sansinterligne"/>
            </w:pPr>
            <w:r>
              <w:t>Un questionnement différent</w:t>
            </w:r>
          </w:p>
        </w:tc>
      </w:tr>
      <w:tr w:rsidR="00452A9C" w:rsidTr="00452A9C">
        <w:tc>
          <w:tcPr>
            <w:tcW w:w="3936" w:type="dxa"/>
            <w:vMerge/>
          </w:tcPr>
          <w:p w:rsidR="00452A9C" w:rsidRDefault="00452A9C" w:rsidP="005F6447">
            <w:pPr>
              <w:pStyle w:val="Sansinterligne"/>
            </w:pPr>
          </w:p>
        </w:tc>
        <w:tc>
          <w:tcPr>
            <w:tcW w:w="5386" w:type="dxa"/>
          </w:tcPr>
          <w:p w:rsidR="00452A9C" w:rsidRDefault="00452A9C" w:rsidP="005F6447">
            <w:pPr>
              <w:pStyle w:val="Sansinterligne"/>
            </w:pPr>
            <w:r>
              <w:t>Des supports différents</w:t>
            </w:r>
          </w:p>
        </w:tc>
      </w:tr>
      <w:tr w:rsidR="00452A9C" w:rsidTr="00452A9C">
        <w:tc>
          <w:tcPr>
            <w:tcW w:w="3936" w:type="dxa"/>
            <w:vMerge/>
          </w:tcPr>
          <w:p w:rsidR="00452A9C" w:rsidRDefault="00452A9C" w:rsidP="005F6447">
            <w:pPr>
              <w:pStyle w:val="Sansinterligne"/>
            </w:pPr>
          </w:p>
        </w:tc>
        <w:tc>
          <w:tcPr>
            <w:tcW w:w="5386" w:type="dxa"/>
          </w:tcPr>
          <w:p w:rsidR="00452A9C" w:rsidRDefault="00452A9C" w:rsidP="005F6447">
            <w:pPr>
              <w:pStyle w:val="Sansinterligne"/>
            </w:pPr>
            <w:r>
              <w:t>Des compétences travaillées différentes</w:t>
            </w:r>
          </w:p>
        </w:tc>
      </w:tr>
      <w:tr w:rsidR="00452A9C" w:rsidTr="00452A9C">
        <w:tc>
          <w:tcPr>
            <w:tcW w:w="3936" w:type="dxa"/>
            <w:vMerge/>
          </w:tcPr>
          <w:p w:rsidR="00452A9C" w:rsidRDefault="00452A9C" w:rsidP="005F6447">
            <w:pPr>
              <w:pStyle w:val="Sansinterligne"/>
            </w:pPr>
          </w:p>
        </w:tc>
        <w:tc>
          <w:tcPr>
            <w:tcW w:w="5386" w:type="dxa"/>
          </w:tcPr>
          <w:p w:rsidR="00452A9C" w:rsidRDefault="00452A9C" w:rsidP="003142B2">
            <w:pPr>
              <w:pStyle w:val="Sansinterligne"/>
            </w:pPr>
            <w:r>
              <w:t>Des évaluations différenciées</w:t>
            </w:r>
          </w:p>
        </w:tc>
      </w:tr>
    </w:tbl>
    <w:p w:rsidR="00D5087B" w:rsidRDefault="00D5087B" w:rsidP="00A7248A">
      <w:pPr>
        <w:pStyle w:val="Sansinterligne"/>
      </w:pPr>
      <w:bookmarkStart w:id="0" w:name="_GoBack"/>
      <w:bookmarkEnd w:id="0"/>
    </w:p>
    <w:p w:rsidR="00A7248A" w:rsidRDefault="00A7248A" w:rsidP="00AB24E6">
      <w:pPr>
        <w:pStyle w:val="Citationintense"/>
      </w:pPr>
      <w:r>
        <w:t xml:space="preserve">Axe </w:t>
      </w:r>
      <w:r w:rsidR="00AB24E6">
        <w:t>4</w:t>
      </w:r>
      <w:r>
        <w:t> : Un enseignement explicite</w:t>
      </w:r>
      <w:r w:rsidR="00CE1EF0">
        <w:t xml:space="preserve"> pour aider </w:t>
      </w:r>
      <w:r w:rsidR="007F47E4">
        <w:t xml:space="preserve"> l’élève </w:t>
      </w:r>
      <w:r w:rsidR="00CE1EF0">
        <w:t xml:space="preserve">à </w:t>
      </w:r>
      <w:r w:rsidR="007F47E4">
        <w:t>prend</w:t>
      </w:r>
      <w:r w:rsidR="00CE1EF0">
        <w:t>re</w:t>
      </w:r>
      <w:r w:rsidR="007F47E4">
        <w:t xml:space="preserve"> conscience des objectifs à atteindre et des procédures </w:t>
      </w:r>
      <w:r w:rsidR="00CE1EF0">
        <w:t>à mobiliser.</w:t>
      </w:r>
      <w:r w:rsidR="00D5087B">
        <w:t xml:space="preserve"> </w:t>
      </w:r>
    </w:p>
    <w:p w:rsidR="007F47E4" w:rsidRDefault="00594E3D" w:rsidP="00A7248A">
      <w:pPr>
        <w:pStyle w:val="Sansinterligne"/>
      </w:pPr>
      <w:r>
        <w:t>Idée de transfert de la démarche / réactivation de la démarche et des connaissances</w:t>
      </w:r>
    </w:p>
    <w:p w:rsidR="00A7248A" w:rsidRDefault="00A7248A" w:rsidP="00A7248A">
      <w:pPr>
        <w:pStyle w:val="Sansinterligne"/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452A9C" w:rsidTr="00452A9C">
        <w:tc>
          <w:tcPr>
            <w:tcW w:w="2093" w:type="dxa"/>
            <w:vMerge w:val="restart"/>
          </w:tcPr>
          <w:p w:rsidR="00452A9C" w:rsidRDefault="00452A9C" w:rsidP="00FA52B6">
            <w:pPr>
              <w:pStyle w:val="Sansinterligne"/>
            </w:pPr>
          </w:p>
          <w:p w:rsidR="00452A9C" w:rsidRDefault="00452A9C" w:rsidP="00FA52B6">
            <w:pPr>
              <w:pStyle w:val="Sansinterligne"/>
            </w:pPr>
            <w:r>
              <w:t xml:space="preserve">En début de séance  </w:t>
            </w:r>
          </w:p>
        </w:tc>
        <w:tc>
          <w:tcPr>
            <w:tcW w:w="7229" w:type="dxa"/>
          </w:tcPr>
          <w:p w:rsidR="00452A9C" w:rsidRDefault="00452A9C" w:rsidP="00452A9C">
            <w:pPr>
              <w:pStyle w:val="Sansinterligne"/>
            </w:pPr>
            <w:r>
              <w:t>les objectifs sont annoncés aussi bien pour les compétences travaillées que pour les connaissances visées.</w:t>
            </w:r>
          </w:p>
        </w:tc>
      </w:tr>
      <w:tr w:rsidR="00452A9C" w:rsidTr="00452A9C">
        <w:tc>
          <w:tcPr>
            <w:tcW w:w="2093" w:type="dxa"/>
            <w:vMerge/>
          </w:tcPr>
          <w:p w:rsidR="00452A9C" w:rsidRDefault="00452A9C" w:rsidP="00A7248A">
            <w:pPr>
              <w:pStyle w:val="Sansinterligne"/>
            </w:pPr>
          </w:p>
        </w:tc>
        <w:tc>
          <w:tcPr>
            <w:tcW w:w="7229" w:type="dxa"/>
          </w:tcPr>
          <w:p w:rsidR="00452A9C" w:rsidRDefault="00452A9C" w:rsidP="00FA52B6">
            <w:pPr>
              <w:pStyle w:val="Sansinterligne"/>
            </w:pPr>
            <w:r>
              <w:t xml:space="preserve">La consigne et les attendus sont expliqués par l’enseignant et/ou reformulés par les élèves. </w:t>
            </w:r>
          </w:p>
        </w:tc>
      </w:tr>
      <w:tr w:rsidR="00452A9C" w:rsidTr="00452A9C">
        <w:tc>
          <w:tcPr>
            <w:tcW w:w="2093" w:type="dxa"/>
            <w:vMerge w:val="restart"/>
          </w:tcPr>
          <w:p w:rsidR="00452A9C" w:rsidRDefault="00452A9C" w:rsidP="00A7248A">
            <w:pPr>
              <w:pStyle w:val="Sansinterligne"/>
            </w:pPr>
            <w:r>
              <w:t>Pendant la séance </w:t>
            </w:r>
          </w:p>
        </w:tc>
        <w:tc>
          <w:tcPr>
            <w:tcW w:w="7229" w:type="dxa"/>
          </w:tcPr>
          <w:p w:rsidR="00452A9C" w:rsidRDefault="00452A9C" w:rsidP="00FA52B6">
            <w:pPr>
              <w:pStyle w:val="Sansinterligne"/>
            </w:pPr>
            <w:r>
              <w:t>La démarche est expliquée par l’enseignant, par un élève</w:t>
            </w:r>
          </w:p>
        </w:tc>
      </w:tr>
      <w:tr w:rsidR="00452A9C" w:rsidTr="00452A9C">
        <w:tc>
          <w:tcPr>
            <w:tcW w:w="2093" w:type="dxa"/>
            <w:vMerge/>
          </w:tcPr>
          <w:p w:rsidR="00452A9C" w:rsidRDefault="00452A9C" w:rsidP="00A7248A">
            <w:pPr>
              <w:pStyle w:val="Sansinterligne"/>
            </w:pPr>
          </w:p>
        </w:tc>
        <w:tc>
          <w:tcPr>
            <w:tcW w:w="7229" w:type="dxa"/>
          </w:tcPr>
          <w:p w:rsidR="00452A9C" w:rsidRDefault="00452A9C" w:rsidP="00A7248A">
            <w:pPr>
              <w:pStyle w:val="Sansinterligne"/>
            </w:pPr>
            <w:r>
              <w:t>Les élèves confrontent leur démarche intellectuelle</w:t>
            </w:r>
            <w:r w:rsidR="00CC249D">
              <w:t xml:space="preserve"> entre pairs</w:t>
            </w:r>
          </w:p>
        </w:tc>
      </w:tr>
      <w:tr w:rsidR="00452A9C" w:rsidTr="00452A9C">
        <w:tc>
          <w:tcPr>
            <w:tcW w:w="2093" w:type="dxa"/>
          </w:tcPr>
          <w:p w:rsidR="00452A9C" w:rsidRDefault="00452A9C" w:rsidP="00A7248A">
            <w:pPr>
              <w:pStyle w:val="Sansinterligne"/>
            </w:pPr>
            <w:r>
              <w:t>En fin de séance</w:t>
            </w:r>
          </w:p>
        </w:tc>
        <w:tc>
          <w:tcPr>
            <w:tcW w:w="7229" w:type="dxa"/>
          </w:tcPr>
          <w:p w:rsidR="00452A9C" w:rsidRDefault="00452A9C" w:rsidP="00CC249D">
            <w:pPr>
              <w:pStyle w:val="Sansinterligne"/>
            </w:pPr>
            <w:r>
              <w:t>Les apprentissages réalisés sont explicités par l’enseignant</w:t>
            </w:r>
            <w:r w:rsidR="00CC249D">
              <w:t xml:space="preserve"> et/ou reformulés</w:t>
            </w:r>
            <w:r>
              <w:t xml:space="preserve"> par les élèves. </w:t>
            </w:r>
          </w:p>
        </w:tc>
      </w:tr>
    </w:tbl>
    <w:p w:rsidR="00A71673" w:rsidRDefault="00A71673" w:rsidP="00A7248A">
      <w:pPr>
        <w:pStyle w:val="Sansinterligne"/>
      </w:pPr>
    </w:p>
    <w:p w:rsidR="00452A9C" w:rsidRDefault="00452A9C" w:rsidP="00A7248A">
      <w:pPr>
        <w:pStyle w:val="Sansinterligne"/>
      </w:pPr>
    </w:p>
    <w:p w:rsidR="00452A9C" w:rsidRDefault="0006227B" w:rsidP="00A7248A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576A7" wp14:editId="13B5BDC3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5829300" cy="29718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673" w:rsidRPr="00A71673" w:rsidRDefault="00A71673" w:rsidP="00A71673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A71673">
                              <w:rPr>
                                <w:b/>
                              </w:rPr>
                              <w:t>BILAN</w:t>
                            </w:r>
                            <w:r w:rsidR="0006227B">
                              <w:rPr>
                                <w:b/>
                              </w:rPr>
                              <w:t xml:space="preserve"> :                                                  </w:t>
                            </w:r>
                          </w:p>
                          <w:p w:rsidR="00A71673" w:rsidRPr="0006227B" w:rsidRDefault="00A71673" w:rsidP="00A71673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71673" w:rsidRPr="00A71673" w:rsidRDefault="00A71673" w:rsidP="00A71673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A71673">
                              <w:rPr>
                                <w:b/>
                              </w:rPr>
                              <w:t>Les points forts du dispositif</w:t>
                            </w:r>
                            <w:r w:rsidR="00452A9C">
                              <w:rPr>
                                <w:b/>
                              </w:rPr>
                              <w:t xml:space="preserve"> mis en place </w:t>
                            </w: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P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Pr="00A71673" w:rsidRDefault="00A71673" w:rsidP="00A71673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A71673">
                              <w:rPr>
                                <w:b/>
                              </w:rPr>
                              <w:t>Les pistes de progression</w:t>
                            </w: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Default="00A71673" w:rsidP="00A71673">
                            <w:pPr>
                              <w:pStyle w:val="Sansinterligne"/>
                            </w:pPr>
                          </w:p>
                          <w:p w:rsidR="00A71673" w:rsidRPr="00A71673" w:rsidRDefault="00A71673" w:rsidP="00A71673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576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2.05pt;width:459pt;height:23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">
                <v:textbox>
                  <w:txbxContent>
                    <w:p w:rsidR="00A71673" w:rsidRPr="00A71673" w:rsidRDefault="00A71673" w:rsidP="00A71673">
                      <w:pPr>
                        <w:pStyle w:val="Sansinterligne"/>
                        <w:rPr>
                          <w:b/>
                        </w:rPr>
                      </w:pPr>
                      <w:r w:rsidRPr="00A71673">
                        <w:rPr>
                          <w:b/>
                        </w:rPr>
                        <w:t>BILAN</w:t>
                      </w:r>
                      <w:r w:rsidR="0006227B">
                        <w:rPr>
                          <w:b/>
                        </w:rPr>
                        <w:t xml:space="preserve"> :                                                  </w:t>
                      </w:r>
                    </w:p>
                    <w:p w:rsidR="00A71673" w:rsidRPr="0006227B" w:rsidRDefault="00A71673" w:rsidP="00A71673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</w:p>
                    <w:p w:rsidR="00A71673" w:rsidRPr="00A71673" w:rsidRDefault="00A71673" w:rsidP="00A71673">
                      <w:pPr>
                        <w:pStyle w:val="Sansinterligne"/>
                        <w:rPr>
                          <w:b/>
                        </w:rPr>
                      </w:pPr>
                      <w:r w:rsidRPr="00A71673">
                        <w:rPr>
                          <w:b/>
                        </w:rPr>
                        <w:t>Les points forts du dispositif</w:t>
                      </w:r>
                      <w:r w:rsidR="00452A9C">
                        <w:rPr>
                          <w:b/>
                        </w:rPr>
                        <w:t xml:space="preserve"> mis en place </w:t>
                      </w: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Pr="00A71673" w:rsidRDefault="00A71673" w:rsidP="00A71673">
                      <w:pPr>
                        <w:pStyle w:val="Sansinterligne"/>
                      </w:pPr>
                    </w:p>
                    <w:p w:rsidR="00A71673" w:rsidRPr="00A71673" w:rsidRDefault="00A71673" w:rsidP="00A71673">
                      <w:pPr>
                        <w:pStyle w:val="Sansinterligne"/>
                        <w:rPr>
                          <w:b/>
                        </w:rPr>
                      </w:pPr>
                      <w:r w:rsidRPr="00A71673">
                        <w:rPr>
                          <w:b/>
                        </w:rPr>
                        <w:t>Les pistes de progression</w:t>
                      </w: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Default="00A71673" w:rsidP="00A71673">
                      <w:pPr>
                        <w:pStyle w:val="Sansinterligne"/>
                      </w:pPr>
                    </w:p>
                    <w:p w:rsidR="00A71673" w:rsidRPr="00A71673" w:rsidRDefault="00A71673" w:rsidP="00A71673">
                      <w:pPr>
                        <w:pStyle w:val="Sansinterlig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1673" w:rsidRDefault="00A71673" w:rsidP="00A7248A">
      <w:pPr>
        <w:pStyle w:val="Sansinterligne"/>
      </w:pPr>
    </w:p>
    <w:sectPr w:rsidR="00A7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8A"/>
    <w:rsid w:val="0006227B"/>
    <w:rsid w:val="000C4E45"/>
    <w:rsid w:val="00146C55"/>
    <w:rsid w:val="0017002E"/>
    <w:rsid w:val="003142B2"/>
    <w:rsid w:val="00452A9C"/>
    <w:rsid w:val="004908DA"/>
    <w:rsid w:val="0051109F"/>
    <w:rsid w:val="00594E3D"/>
    <w:rsid w:val="005C6B64"/>
    <w:rsid w:val="00670569"/>
    <w:rsid w:val="007F47E4"/>
    <w:rsid w:val="00A71673"/>
    <w:rsid w:val="00A7248A"/>
    <w:rsid w:val="00AB24E6"/>
    <w:rsid w:val="00AE2971"/>
    <w:rsid w:val="00AF5F9B"/>
    <w:rsid w:val="00B40FA5"/>
    <w:rsid w:val="00C36124"/>
    <w:rsid w:val="00CC249D"/>
    <w:rsid w:val="00CE1EF0"/>
    <w:rsid w:val="00D5087B"/>
    <w:rsid w:val="00E15C6F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D4E1-6AE0-421B-B68C-D5966814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248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7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48A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E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EF0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511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1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29BB-3AEE-4506-A676-57F6199A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Rectorat</cp:lastModifiedBy>
  <cp:revision>2</cp:revision>
  <dcterms:created xsi:type="dcterms:W3CDTF">2016-11-08T09:16:00Z</dcterms:created>
  <dcterms:modified xsi:type="dcterms:W3CDTF">2016-11-08T09:16:00Z</dcterms:modified>
</cp:coreProperties>
</file>