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DD5" w:rsidRPr="000113A0" w:rsidRDefault="000113A0" w:rsidP="000113A0">
      <w:pPr>
        <w:jc w:val="center"/>
        <w:rPr>
          <w:b/>
          <w:sz w:val="24"/>
          <w:szCs w:val="24"/>
        </w:rPr>
      </w:pPr>
      <w:r w:rsidRPr="000113A0">
        <w:rPr>
          <w:b/>
          <w:sz w:val="24"/>
          <w:szCs w:val="24"/>
        </w:rPr>
        <w:t>Physique-chimie</w:t>
      </w:r>
      <w:r w:rsidR="004D63FD">
        <w:rPr>
          <w:b/>
          <w:sz w:val="24"/>
          <w:szCs w:val="24"/>
        </w:rPr>
        <w:t xml:space="preserve"> </w:t>
      </w:r>
      <w:r w:rsidR="002A2F0B">
        <w:rPr>
          <w:b/>
          <w:sz w:val="24"/>
          <w:szCs w:val="24"/>
        </w:rPr>
        <w:t>- T</w:t>
      </w:r>
      <w:r w:rsidR="000F36C5">
        <w:rPr>
          <w:b/>
          <w:sz w:val="24"/>
          <w:szCs w:val="24"/>
        </w:rPr>
        <w:t>M</w:t>
      </w:r>
      <w:r w:rsidR="002A2F0B">
        <w:rPr>
          <w:b/>
          <w:sz w:val="24"/>
          <w:szCs w:val="24"/>
        </w:rPr>
        <w:t xml:space="preserve">D </w:t>
      </w:r>
      <w:r w:rsidR="004D63FD">
        <w:rPr>
          <w:b/>
          <w:sz w:val="24"/>
          <w:szCs w:val="24"/>
        </w:rPr>
        <w:t xml:space="preserve">- </w:t>
      </w:r>
      <w:r w:rsidRPr="000113A0">
        <w:rPr>
          <w:b/>
          <w:sz w:val="24"/>
          <w:szCs w:val="24"/>
        </w:rPr>
        <w:t xml:space="preserve">Classe de </w:t>
      </w:r>
      <w:r w:rsidR="00F40EFB">
        <w:rPr>
          <w:b/>
          <w:sz w:val="24"/>
          <w:szCs w:val="24"/>
        </w:rPr>
        <w:t>terminale</w:t>
      </w:r>
    </w:p>
    <w:p w:rsidR="00D454D4" w:rsidRPr="00D454D4" w:rsidRDefault="00D454D4">
      <w:pPr>
        <w:rPr>
          <w:b/>
          <w:sz w:val="24"/>
          <w:szCs w:val="24"/>
          <w:u w:val="single"/>
        </w:rPr>
      </w:pPr>
      <w:r w:rsidRPr="00D454D4">
        <w:rPr>
          <w:b/>
          <w:sz w:val="24"/>
          <w:szCs w:val="24"/>
          <w:u w:val="single"/>
        </w:rPr>
        <w:t>Introduction</w:t>
      </w:r>
    </w:p>
    <w:p w:rsidR="00994B2E" w:rsidRPr="00B14F6B" w:rsidRDefault="00994B2E" w:rsidP="00994B2E">
      <w:pPr>
        <w:rPr>
          <w:szCs w:val="24"/>
        </w:rPr>
      </w:pPr>
      <w:r w:rsidRPr="00B14F6B">
        <w:rPr>
          <w:szCs w:val="24"/>
        </w:rPr>
        <w:t xml:space="preserve">Les repères donnés ci-dessous ont une valeur indicative et visent simplement à aider le professeur à identifier les capacités clefs qu’il peut choisir de travailler durant la période de reprise. Ces capacités ont été identifiées, d’une part en fonction de leur importance au regard des notions et, d’autre part dans un objectif de préparer les élèves à la poursuite d'études supérieures, en particulier dans les champs </w:t>
      </w:r>
      <w:r w:rsidR="00BC1FF7" w:rsidRPr="00B14F6B">
        <w:rPr>
          <w:szCs w:val="24"/>
        </w:rPr>
        <w:t>de la musique et de la danse</w:t>
      </w:r>
      <w:r w:rsidRPr="00B14F6B">
        <w:rPr>
          <w:szCs w:val="24"/>
        </w:rPr>
        <w:t>.</w:t>
      </w:r>
    </w:p>
    <w:p w:rsidR="00660946" w:rsidRDefault="00994B2E" w:rsidP="00EF756A">
      <w:r w:rsidRPr="00B14F6B">
        <w:rPr>
          <w:szCs w:val="24"/>
        </w:rPr>
        <w:t>Les choix effectués dépendent naturellement de ce qui a déjà été traité par le professeur et des conditions de la continuité pédagogique pendant la période de confinement. Pendant cette courte période de reprise, il est d’abord nécessaire de rassurer et de réengager progressivement les élèves dans les apprentissages. Par ailleurs, il est préférable, compte tenu des contraintes sanitaires, de s’appuyer sur des expérien</w:t>
      </w:r>
      <w:r w:rsidR="00660946">
        <w:rPr>
          <w:szCs w:val="24"/>
        </w:rPr>
        <w:t>ces conduites par le professeur</w:t>
      </w:r>
      <w:r w:rsidR="00B14F6B">
        <w:rPr>
          <w:szCs w:val="24"/>
        </w:rPr>
        <w:t xml:space="preserve">, des animations </w:t>
      </w:r>
      <w:r w:rsidRPr="00B14F6B">
        <w:rPr>
          <w:szCs w:val="24"/>
        </w:rPr>
        <w:t xml:space="preserve">et des vidéos. Ceci ne remet pas en cause les nécessaires pratique de la démarche scientifique et mise en activité des élèves. </w:t>
      </w:r>
      <w:r w:rsidR="00660946">
        <w:t xml:space="preserve">Enfin, eu égard à la variabilité vraisemblable des conditions de la reprise (par exemple alternance de séances en présentiel et de travaux à distance), il est recommandé de construire des séances prenant appui sur des activités que les élèves peuvent réaliser en autonomie aussi bien en classe qu'à la maison. Lors d'une séance en présentiel, le professeur peut ainsi accompagner plus particulièrement les élèves absents à la séance précédente.  </w:t>
      </w:r>
    </w:p>
    <w:p w:rsidR="00994B2E" w:rsidRPr="00EF756A" w:rsidRDefault="00994B2E" w:rsidP="00EF756A">
      <w:pPr>
        <w:rPr>
          <w:b/>
          <w:sz w:val="24"/>
          <w:szCs w:val="24"/>
          <w:u w:val="single"/>
        </w:rPr>
      </w:pPr>
      <w:bookmarkStart w:id="0" w:name="_GoBack"/>
      <w:bookmarkEnd w:id="0"/>
      <w:r w:rsidRPr="00D454D4">
        <w:rPr>
          <w:b/>
          <w:sz w:val="24"/>
          <w:szCs w:val="24"/>
          <w:u w:val="single"/>
        </w:rPr>
        <w:t>Capacités à travailler en priorité</w:t>
      </w:r>
    </w:p>
    <w:tbl>
      <w:tblPr>
        <w:tblStyle w:val="Grilledutableau"/>
        <w:tblW w:w="0" w:type="auto"/>
        <w:tblLook w:val="04A0" w:firstRow="1" w:lastRow="0" w:firstColumn="1" w:lastColumn="0" w:noHBand="0" w:noVBand="1"/>
      </w:tblPr>
      <w:tblGrid>
        <w:gridCol w:w="4606"/>
        <w:gridCol w:w="4606"/>
      </w:tblGrid>
      <w:tr w:rsidR="00994B2E" w:rsidTr="007075C2">
        <w:tc>
          <w:tcPr>
            <w:tcW w:w="4606" w:type="dxa"/>
          </w:tcPr>
          <w:p w:rsidR="00994B2E" w:rsidRPr="00705974" w:rsidRDefault="00994B2E" w:rsidP="007075C2">
            <w:pPr>
              <w:rPr>
                <w:b/>
              </w:rPr>
            </w:pPr>
            <w:r w:rsidRPr="00705974">
              <w:rPr>
                <w:b/>
              </w:rPr>
              <w:t xml:space="preserve">Attendus </w:t>
            </w:r>
            <w:r>
              <w:rPr>
                <w:b/>
              </w:rPr>
              <w:t xml:space="preserve">de </w:t>
            </w:r>
            <w:r w:rsidRPr="00705974">
              <w:rPr>
                <w:b/>
              </w:rPr>
              <w:t>fin d</w:t>
            </w:r>
            <w:r>
              <w:rPr>
                <w:b/>
              </w:rPr>
              <w:t>’année</w:t>
            </w:r>
          </w:p>
        </w:tc>
        <w:tc>
          <w:tcPr>
            <w:tcW w:w="4606" w:type="dxa"/>
          </w:tcPr>
          <w:p w:rsidR="00994B2E" w:rsidRPr="0004201D" w:rsidRDefault="00994B2E" w:rsidP="007075C2">
            <w:pPr>
              <w:rPr>
                <w:b/>
              </w:rPr>
            </w:pPr>
            <w:r w:rsidRPr="0004201D">
              <w:rPr>
                <w:b/>
              </w:rPr>
              <w:t>Capacit</w:t>
            </w:r>
            <w:r>
              <w:rPr>
                <w:b/>
              </w:rPr>
              <w:t>és à travailler en priorité</w:t>
            </w:r>
          </w:p>
        </w:tc>
      </w:tr>
      <w:tr w:rsidR="002E76F0" w:rsidTr="007075C2">
        <w:tc>
          <w:tcPr>
            <w:tcW w:w="4606" w:type="dxa"/>
          </w:tcPr>
          <w:p w:rsidR="002E76F0" w:rsidRDefault="00BC5472" w:rsidP="002E76F0">
            <w:r>
              <w:t>Les chaînes électro-acoustiques</w:t>
            </w:r>
          </w:p>
        </w:tc>
        <w:tc>
          <w:tcPr>
            <w:tcW w:w="4606" w:type="dxa"/>
          </w:tcPr>
          <w:p w:rsidR="00BC5472" w:rsidRDefault="00BC5472" w:rsidP="00BC5472">
            <w:r>
              <w:t>- Gain et bande passante.</w:t>
            </w:r>
          </w:p>
          <w:p w:rsidR="002E76F0" w:rsidRDefault="002E76F0" w:rsidP="00BC5472">
            <w:r>
              <w:t xml:space="preserve">- </w:t>
            </w:r>
            <w:r w:rsidR="00BC5472">
              <w:t>Conversion A/N</w:t>
            </w:r>
            <w:r>
              <w:t>.</w:t>
            </w:r>
          </w:p>
        </w:tc>
      </w:tr>
      <w:tr w:rsidR="002E76F0" w:rsidTr="007075C2">
        <w:tc>
          <w:tcPr>
            <w:tcW w:w="4606" w:type="dxa"/>
          </w:tcPr>
          <w:p w:rsidR="002E76F0" w:rsidRDefault="00BC5472" w:rsidP="002E76F0">
            <w:r>
              <w:t>Qualités physiologiques d’un son musical</w:t>
            </w:r>
            <w:r w:rsidR="002E76F0" w:rsidRPr="00994B2E">
              <w:t xml:space="preserve"> </w:t>
            </w:r>
          </w:p>
        </w:tc>
        <w:tc>
          <w:tcPr>
            <w:tcW w:w="4606" w:type="dxa"/>
          </w:tcPr>
          <w:p w:rsidR="002E76F0" w:rsidRDefault="002E76F0" w:rsidP="00BC5472">
            <w:r>
              <w:t xml:space="preserve">- </w:t>
            </w:r>
            <w:r w:rsidR="00BC5472">
              <w:t>Hauteur : notion d’intervalle</w:t>
            </w:r>
            <w:r w:rsidR="00EF756A">
              <w:t>, structure de la gamme tempérée.</w:t>
            </w:r>
          </w:p>
          <w:p w:rsidR="00EF756A" w:rsidRDefault="00EF756A" w:rsidP="00BC5472">
            <w:r>
              <w:t>- Sensation d’intensité : décibel.</w:t>
            </w:r>
          </w:p>
          <w:p w:rsidR="00EF756A" w:rsidRDefault="00EF756A" w:rsidP="00BC5472">
            <w:r>
              <w:t>- Timbre d’un son.</w:t>
            </w:r>
          </w:p>
        </w:tc>
      </w:tr>
      <w:tr w:rsidR="00BC5472" w:rsidTr="007075C2">
        <w:tc>
          <w:tcPr>
            <w:tcW w:w="4606" w:type="dxa"/>
          </w:tcPr>
          <w:p w:rsidR="00BC5472" w:rsidRDefault="00BC5472" w:rsidP="002E76F0">
            <w:r>
              <w:t>Instruments de musique</w:t>
            </w:r>
          </w:p>
        </w:tc>
        <w:tc>
          <w:tcPr>
            <w:tcW w:w="4606" w:type="dxa"/>
          </w:tcPr>
          <w:p w:rsidR="00BC5472" w:rsidRDefault="00BC5472" w:rsidP="00BC5472">
            <w:pPr>
              <w:pStyle w:val="Paragraphedeliste"/>
              <w:ind w:left="0"/>
            </w:pPr>
            <w:r>
              <w:t>- Ondes stationnaires : cordes vibrantes, tuyaux sonores.</w:t>
            </w:r>
          </w:p>
        </w:tc>
      </w:tr>
      <w:tr w:rsidR="002E76F0" w:rsidTr="007075C2">
        <w:tc>
          <w:tcPr>
            <w:tcW w:w="9212" w:type="dxa"/>
            <w:gridSpan w:val="2"/>
          </w:tcPr>
          <w:p w:rsidR="002E76F0" w:rsidRPr="004D63FD" w:rsidRDefault="002E76F0" w:rsidP="002E76F0">
            <w:pPr>
              <w:rPr>
                <w:color w:val="FF0000"/>
              </w:rPr>
            </w:pPr>
            <w:r>
              <w:rPr>
                <w:b/>
                <w:color w:val="FF0000"/>
                <w:u w:val="single"/>
              </w:rPr>
              <w:t>Conseil</w:t>
            </w:r>
            <w:r w:rsidR="00EF756A">
              <w:rPr>
                <w:b/>
                <w:color w:val="FF0000"/>
                <w:u w:val="single"/>
              </w:rPr>
              <w:t>s</w:t>
            </w:r>
            <w:r w:rsidRPr="00E178D4">
              <w:rPr>
                <w:color w:val="FF0000"/>
              </w:rPr>
              <w:t xml:space="preserve"> : </w:t>
            </w:r>
            <w:r w:rsidR="00B14F6B">
              <w:rPr>
                <w:color w:val="FF0000"/>
              </w:rPr>
              <w:t>c</w:t>
            </w:r>
            <w:r w:rsidR="00EF756A">
              <w:rPr>
                <w:color w:val="FF0000"/>
              </w:rPr>
              <w:t>haque notion doit être traitée autour d’un instrument de musique précis, tantôt à corde, tantôt à vent, en utilisant au besoin des documents (articles, notices d’utilisation, etc.). Les calculs devront être limités aux exemples les plus simples.</w:t>
            </w:r>
          </w:p>
        </w:tc>
      </w:tr>
    </w:tbl>
    <w:p w:rsidR="00994B2E" w:rsidRDefault="00994B2E" w:rsidP="00994B2E">
      <w:pPr>
        <w:pStyle w:val="Paragraphedeliste"/>
        <w:ind w:left="360"/>
        <w:rPr>
          <w:b/>
          <w:color w:val="3333FF"/>
          <w:sz w:val="24"/>
          <w:szCs w:val="24"/>
        </w:rPr>
      </w:pPr>
    </w:p>
    <w:p w:rsidR="00994B2E" w:rsidRDefault="00994B2E" w:rsidP="00994B2E">
      <w:pPr>
        <w:pStyle w:val="Paragraphedeliste"/>
        <w:ind w:left="360"/>
        <w:rPr>
          <w:b/>
          <w:color w:val="3333FF"/>
          <w:sz w:val="24"/>
          <w:szCs w:val="24"/>
        </w:rPr>
      </w:pPr>
    </w:p>
    <w:p w:rsidR="000113A0" w:rsidRDefault="000113A0" w:rsidP="00732520"/>
    <w:sectPr w:rsidR="000113A0" w:rsidSect="004D63FD">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CDF" w:rsidRDefault="00EB5CDF" w:rsidP="00ED6C8F">
      <w:pPr>
        <w:spacing w:after="0" w:line="240" w:lineRule="auto"/>
      </w:pPr>
      <w:r>
        <w:separator/>
      </w:r>
    </w:p>
  </w:endnote>
  <w:endnote w:type="continuationSeparator" w:id="0">
    <w:p w:rsidR="00EB5CDF" w:rsidRDefault="00EB5CDF" w:rsidP="00ED6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CDF" w:rsidRDefault="00EB5CDF" w:rsidP="00ED6C8F">
      <w:pPr>
        <w:spacing w:after="0" w:line="240" w:lineRule="auto"/>
      </w:pPr>
      <w:r>
        <w:separator/>
      </w:r>
    </w:p>
  </w:footnote>
  <w:footnote w:type="continuationSeparator" w:id="0">
    <w:p w:rsidR="00EB5CDF" w:rsidRDefault="00EB5CDF" w:rsidP="00ED6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797"/>
    <w:multiLevelType w:val="hybridMultilevel"/>
    <w:tmpl w:val="94D8BC2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7B856EF"/>
    <w:multiLevelType w:val="hybridMultilevel"/>
    <w:tmpl w:val="A6F20DD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96F4089"/>
    <w:multiLevelType w:val="hybridMultilevel"/>
    <w:tmpl w:val="DBE8EB1C"/>
    <w:lvl w:ilvl="0" w:tplc="F08230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3A0"/>
    <w:rsid w:val="000113A0"/>
    <w:rsid w:val="0003317A"/>
    <w:rsid w:val="00041BB8"/>
    <w:rsid w:val="000678CB"/>
    <w:rsid w:val="000723F6"/>
    <w:rsid w:val="00094345"/>
    <w:rsid w:val="000C4869"/>
    <w:rsid w:val="000F36C5"/>
    <w:rsid w:val="00126168"/>
    <w:rsid w:val="00130A57"/>
    <w:rsid w:val="00156441"/>
    <w:rsid w:val="001C18ED"/>
    <w:rsid w:val="00280755"/>
    <w:rsid w:val="002A2F0B"/>
    <w:rsid w:val="002A643B"/>
    <w:rsid w:val="002C3A2C"/>
    <w:rsid w:val="002E76F0"/>
    <w:rsid w:val="0034057E"/>
    <w:rsid w:val="004024CF"/>
    <w:rsid w:val="00433F0A"/>
    <w:rsid w:val="0046413D"/>
    <w:rsid w:val="004C0B9A"/>
    <w:rsid w:val="004D63FD"/>
    <w:rsid w:val="00523CB9"/>
    <w:rsid w:val="00527F8C"/>
    <w:rsid w:val="00567CA8"/>
    <w:rsid w:val="005D5783"/>
    <w:rsid w:val="00614083"/>
    <w:rsid w:val="00660946"/>
    <w:rsid w:val="00705974"/>
    <w:rsid w:val="00732520"/>
    <w:rsid w:val="007A1A01"/>
    <w:rsid w:val="00801936"/>
    <w:rsid w:val="008B4EF6"/>
    <w:rsid w:val="008E1F4A"/>
    <w:rsid w:val="008E5619"/>
    <w:rsid w:val="00985034"/>
    <w:rsid w:val="00994B2E"/>
    <w:rsid w:val="009C1CD0"/>
    <w:rsid w:val="009D0537"/>
    <w:rsid w:val="00A021F4"/>
    <w:rsid w:val="00A2631B"/>
    <w:rsid w:val="00A42BA8"/>
    <w:rsid w:val="00A6069E"/>
    <w:rsid w:val="00A721AA"/>
    <w:rsid w:val="00A814D6"/>
    <w:rsid w:val="00B14F6B"/>
    <w:rsid w:val="00B64B8D"/>
    <w:rsid w:val="00BB3DC2"/>
    <w:rsid w:val="00BC1FF7"/>
    <w:rsid w:val="00BC5472"/>
    <w:rsid w:val="00D454D4"/>
    <w:rsid w:val="00D519CB"/>
    <w:rsid w:val="00DC245F"/>
    <w:rsid w:val="00E24F84"/>
    <w:rsid w:val="00E824FC"/>
    <w:rsid w:val="00EB5CDF"/>
    <w:rsid w:val="00EC1D26"/>
    <w:rsid w:val="00EC2DD5"/>
    <w:rsid w:val="00ED6C8F"/>
    <w:rsid w:val="00EF756A"/>
    <w:rsid w:val="00F11D51"/>
    <w:rsid w:val="00F30ABD"/>
    <w:rsid w:val="00F40E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E8186"/>
  <w15:docId w15:val="{20185C0C-5418-4C9D-92A1-B2B064C2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11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30A57"/>
    <w:pPr>
      <w:ind w:left="720"/>
      <w:contextualSpacing/>
    </w:pPr>
  </w:style>
  <w:style w:type="paragraph" w:styleId="Notedebasdepage">
    <w:name w:val="footnote text"/>
    <w:basedOn w:val="Normal"/>
    <w:link w:val="NotedebasdepageCar"/>
    <w:uiPriority w:val="99"/>
    <w:semiHidden/>
    <w:unhideWhenUsed/>
    <w:rsid w:val="00ED6C8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D6C8F"/>
    <w:rPr>
      <w:sz w:val="20"/>
      <w:szCs w:val="20"/>
    </w:rPr>
  </w:style>
  <w:style w:type="character" w:styleId="Appelnotedebasdep">
    <w:name w:val="footnote reference"/>
    <w:basedOn w:val="Policepardfaut"/>
    <w:uiPriority w:val="99"/>
    <w:semiHidden/>
    <w:unhideWhenUsed/>
    <w:rsid w:val="00ED6C8F"/>
    <w:rPr>
      <w:vertAlign w:val="superscript"/>
    </w:rPr>
  </w:style>
  <w:style w:type="character" w:styleId="Lienhypertexte">
    <w:name w:val="Hyperlink"/>
    <w:basedOn w:val="Policepardfaut"/>
    <w:uiPriority w:val="99"/>
    <w:unhideWhenUsed/>
    <w:rsid w:val="00ED6C8F"/>
    <w:rPr>
      <w:color w:val="0000FF" w:themeColor="hyperlink"/>
      <w:u w:val="single"/>
    </w:rPr>
  </w:style>
  <w:style w:type="paragraph" w:styleId="Textedebulles">
    <w:name w:val="Balloon Text"/>
    <w:basedOn w:val="Normal"/>
    <w:link w:val="TextedebullesCar"/>
    <w:uiPriority w:val="99"/>
    <w:semiHidden/>
    <w:unhideWhenUsed/>
    <w:rsid w:val="008E5619"/>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E561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420673">
      <w:bodyDiv w:val="1"/>
      <w:marLeft w:val="0"/>
      <w:marRight w:val="0"/>
      <w:marTop w:val="0"/>
      <w:marBottom w:val="0"/>
      <w:divBdr>
        <w:top w:val="none" w:sz="0" w:space="0" w:color="auto"/>
        <w:left w:val="none" w:sz="0" w:space="0" w:color="auto"/>
        <w:bottom w:val="none" w:sz="0" w:space="0" w:color="auto"/>
        <w:right w:val="none" w:sz="0" w:space="0" w:color="auto"/>
      </w:divBdr>
      <w:divsChild>
        <w:div w:id="1391340142">
          <w:marLeft w:val="0"/>
          <w:marRight w:val="0"/>
          <w:marTop w:val="0"/>
          <w:marBottom w:val="0"/>
          <w:divBdr>
            <w:top w:val="none" w:sz="0" w:space="0" w:color="auto"/>
            <w:left w:val="none" w:sz="0" w:space="0" w:color="auto"/>
            <w:bottom w:val="none" w:sz="0" w:space="0" w:color="auto"/>
            <w:right w:val="none" w:sz="0" w:space="0" w:color="auto"/>
          </w:divBdr>
          <w:divsChild>
            <w:div w:id="1542012084">
              <w:marLeft w:val="0"/>
              <w:marRight w:val="0"/>
              <w:marTop w:val="0"/>
              <w:marBottom w:val="0"/>
              <w:divBdr>
                <w:top w:val="none" w:sz="0" w:space="0" w:color="auto"/>
                <w:left w:val="none" w:sz="0" w:space="0" w:color="auto"/>
                <w:bottom w:val="none" w:sz="0" w:space="0" w:color="auto"/>
                <w:right w:val="none" w:sz="0" w:space="0" w:color="auto"/>
              </w:divBdr>
              <w:divsChild>
                <w:div w:id="13878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7F457-C2BB-4EAA-A30A-54107610B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342</Words>
  <Characters>1885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MBMauhourat</dc:creator>
  <cp:lastModifiedBy>jacques.royer@ac-nantes.fr</cp:lastModifiedBy>
  <cp:revision>19</cp:revision>
  <dcterms:created xsi:type="dcterms:W3CDTF">2020-04-24T13:59:00Z</dcterms:created>
  <dcterms:modified xsi:type="dcterms:W3CDTF">2020-05-18T07:26:00Z</dcterms:modified>
</cp:coreProperties>
</file>