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9B" w:rsidRPr="002345B7" w:rsidRDefault="00DD029B" w:rsidP="009E322C">
      <w:pPr>
        <w:spacing w:line="240" w:lineRule="auto"/>
        <w:jc w:val="center"/>
        <w:rPr>
          <w:b/>
          <w:sz w:val="24"/>
          <w:szCs w:val="24"/>
        </w:rPr>
      </w:pPr>
      <w:r w:rsidRPr="002345B7">
        <w:rPr>
          <w:b/>
          <w:sz w:val="24"/>
          <w:szCs w:val="24"/>
        </w:rPr>
        <w:t xml:space="preserve">Physique-chimie </w:t>
      </w:r>
      <w:r>
        <w:rPr>
          <w:b/>
          <w:sz w:val="24"/>
          <w:szCs w:val="24"/>
        </w:rPr>
        <w:t xml:space="preserve">pour la santé </w:t>
      </w:r>
      <w:r w:rsidRPr="002345B7">
        <w:rPr>
          <w:b/>
          <w:sz w:val="24"/>
          <w:szCs w:val="24"/>
        </w:rPr>
        <w:t xml:space="preserve">– </w:t>
      </w:r>
      <w:r>
        <w:rPr>
          <w:b/>
          <w:sz w:val="24"/>
          <w:szCs w:val="24"/>
        </w:rPr>
        <w:t>série ST2S</w:t>
      </w:r>
      <w:r w:rsidRPr="002345B7">
        <w:rPr>
          <w:b/>
          <w:sz w:val="24"/>
          <w:szCs w:val="24"/>
        </w:rPr>
        <w:t xml:space="preserve"> – classe de </w:t>
      </w:r>
      <w:r>
        <w:rPr>
          <w:b/>
          <w:sz w:val="24"/>
          <w:szCs w:val="24"/>
        </w:rPr>
        <w:t>première</w:t>
      </w:r>
      <w:r w:rsidRPr="002345B7">
        <w:rPr>
          <w:b/>
          <w:sz w:val="24"/>
          <w:szCs w:val="24"/>
        </w:rPr>
        <w:t xml:space="preserve"> </w:t>
      </w:r>
    </w:p>
    <w:p w:rsidR="00DD029B" w:rsidRDefault="00DD029B" w:rsidP="009E322C">
      <w:pPr>
        <w:spacing w:line="240" w:lineRule="auto"/>
        <w:rPr>
          <w:b/>
          <w:sz w:val="24"/>
          <w:u w:val="single"/>
        </w:rPr>
      </w:pPr>
      <w:r w:rsidRPr="002345B7">
        <w:rPr>
          <w:b/>
          <w:sz w:val="24"/>
          <w:u w:val="single"/>
        </w:rPr>
        <w:t>Introduction</w:t>
      </w:r>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w:t>
      </w:r>
      <w:r w:rsidR="00E9714E">
        <w:rPr>
          <w:rFonts w:eastAsia="Times New Roman" w:cstheme="minorHAnsi"/>
          <w:bCs/>
          <w:lang w:eastAsia="fr-FR"/>
        </w:rPr>
        <w:t xml:space="preserve">l’importance scientifique et culturelle </w:t>
      </w:r>
      <w:r w:rsidRPr="00680044">
        <w:rPr>
          <w:rFonts w:eastAsia="Times New Roman" w:cstheme="minorHAnsi"/>
          <w:bCs/>
          <w:lang w:eastAsia="fr-FR"/>
        </w:rPr>
        <w:t xml:space="preserve">des notions </w:t>
      </w:r>
      <w:r w:rsidR="00E9714E">
        <w:rPr>
          <w:rFonts w:eastAsia="Times New Roman" w:cstheme="minorHAnsi"/>
          <w:bCs/>
          <w:lang w:eastAsia="fr-FR"/>
        </w:rPr>
        <w:t xml:space="preserve">afférentes </w:t>
      </w:r>
      <w:r w:rsidRPr="00680044">
        <w:rPr>
          <w:rFonts w:eastAsia="Times New Roman" w:cstheme="minorHAnsi"/>
          <w:bCs/>
          <w:lang w:eastAsia="fr-FR"/>
        </w:rPr>
        <w:t xml:space="preserve">et dans un objectif d’optimiser la poursuite d’étude en classe terminale. </w:t>
      </w:r>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w:t>
      </w:r>
      <w:r w:rsidR="000F762E">
        <w:rPr>
          <w:rFonts w:eastAsia="Times New Roman" w:cstheme="minorHAnsi"/>
          <w:bCs/>
          <w:lang w:eastAsia="fr-FR"/>
        </w:rPr>
        <w:t>s animations et des simulations,</w:t>
      </w:r>
      <w:r w:rsidRPr="00680044">
        <w:rPr>
          <w:rFonts w:eastAsia="Times New Roman" w:cstheme="minorHAnsi"/>
          <w:bCs/>
          <w:lang w:eastAsia="fr-FR"/>
        </w:rPr>
        <w:t xml:space="preserve"> et se contenter</w:t>
      </w:r>
      <w:r>
        <w:rPr>
          <w:rFonts w:eastAsia="Times New Roman" w:cstheme="minorHAnsi"/>
          <w:bCs/>
          <w:lang w:eastAsia="fr-FR"/>
        </w:rPr>
        <w:t xml:space="preserve"> d’un nombre restreint d’activités expérimentales pertinentes</w:t>
      </w:r>
      <w:r w:rsidRPr="00680044">
        <w:rPr>
          <w:rFonts w:eastAsia="Times New Roman" w:cstheme="minorHAnsi"/>
          <w:bCs/>
          <w:lang w:eastAsia="fr-FR"/>
        </w:rPr>
        <w:t xml:space="preserve">. </w:t>
      </w:r>
      <w:r w:rsidR="000F762E">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Durant la période de reprise, l’important est d’exploiter les grands principes, en veillant toujours à le faire dans une situation contextualisée</w:t>
      </w:r>
      <w:r>
        <w:rPr>
          <w:rFonts w:eastAsia="Times New Roman" w:cstheme="minorHAnsi"/>
          <w:bCs/>
          <w:lang w:eastAsia="fr-FR"/>
        </w:rPr>
        <w:t xml:space="preserve"> propre à la série ST2S</w:t>
      </w:r>
      <w:r w:rsidR="00E9714E">
        <w:rPr>
          <w:rFonts w:eastAsia="Times New Roman" w:cstheme="minorHAnsi"/>
          <w:bCs/>
          <w:lang w:eastAsia="fr-FR"/>
        </w:rPr>
        <w:t xml:space="preserve"> et </w:t>
      </w:r>
      <w:r w:rsidR="00F76DE5">
        <w:rPr>
          <w:rFonts w:eastAsia="Times New Roman" w:cstheme="minorHAnsi"/>
          <w:bCs/>
          <w:lang w:eastAsia="fr-FR"/>
        </w:rPr>
        <w:t>en lien</w:t>
      </w:r>
      <w:r w:rsidR="00E9714E">
        <w:rPr>
          <w:rFonts w:eastAsia="Times New Roman" w:cstheme="minorHAnsi"/>
          <w:bCs/>
          <w:lang w:eastAsia="fr-FR"/>
        </w:rPr>
        <w:t xml:space="preserve"> </w:t>
      </w:r>
      <w:r w:rsidR="00F76DE5">
        <w:rPr>
          <w:rFonts w:eastAsia="Times New Roman" w:cstheme="minorHAnsi"/>
          <w:bCs/>
          <w:lang w:eastAsia="fr-FR"/>
        </w:rPr>
        <w:t xml:space="preserve">avec </w:t>
      </w:r>
      <w:r w:rsidR="00E9714E">
        <w:rPr>
          <w:rFonts w:eastAsia="Times New Roman" w:cstheme="minorHAnsi"/>
          <w:bCs/>
          <w:lang w:eastAsia="fr-FR"/>
        </w:rPr>
        <w:t>son caractère technologique</w:t>
      </w:r>
      <w:r w:rsidRPr="00680044">
        <w:rPr>
          <w:rFonts w:eastAsia="Times New Roman" w:cstheme="minorHAnsi"/>
          <w:bCs/>
          <w:lang w:eastAsia="fr-FR"/>
        </w:rPr>
        <w:t>, sans rechercher une exhaustivité des applications.</w:t>
      </w:r>
    </w:p>
    <w:p w:rsidR="00DD029B" w:rsidRPr="002345B7" w:rsidRDefault="00DD029B" w:rsidP="009E322C">
      <w:pPr>
        <w:spacing w:line="240" w:lineRule="auto"/>
        <w:rPr>
          <w:b/>
          <w:sz w:val="24"/>
          <w:u w:val="single"/>
        </w:rPr>
      </w:pPr>
      <w:r w:rsidRPr="002345B7">
        <w:rPr>
          <w:b/>
          <w:sz w:val="24"/>
          <w:u w:val="single"/>
        </w:rPr>
        <w:t xml:space="preserve">Capacités à </w:t>
      </w:r>
      <w:r>
        <w:rPr>
          <w:b/>
          <w:sz w:val="24"/>
          <w:u w:val="single"/>
        </w:rPr>
        <w:t>privilégier</w:t>
      </w:r>
    </w:p>
    <w:p w:rsidR="00DD029B" w:rsidRPr="002345B7" w:rsidRDefault="009B7CC8" w:rsidP="009E322C">
      <w:pPr>
        <w:pStyle w:val="Paragraphedeliste"/>
        <w:numPr>
          <w:ilvl w:val="0"/>
          <w:numId w:val="1"/>
        </w:numPr>
        <w:spacing w:line="240" w:lineRule="auto"/>
        <w:rPr>
          <w:b/>
          <w:sz w:val="24"/>
        </w:rPr>
      </w:pPr>
      <w:r>
        <w:rPr>
          <w:b/>
          <w:sz w:val="24"/>
        </w:rPr>
        <w:t>Thème 1 : Prévenir et sécuriser</w:t>
      </w:r>
    </w:p>
    <w:tbl>
      <w:tblPr>
        <w:tblStyle w:val="Grilledutableau"/>
        <w:tblW w:w="0" w:type="auto"/>
        <w:tblLook w:val="04A0" w:firstRow="1" w:lastRow="0" w:firstColumn="1" w:lastColumn="0" w:noHBand="0" w:noVBand="1"/>
      </w:tblPr>
      <w:tblGrid>
        <w:gridCol w:w="4526"/>
        <w:gridCol w:w="4530"/>
      </w:tblGrid>
      <w:tr w:rsidR="00DD029B" w:rsidRPr="00E178D4" w:rsidTr="00724B2B">
        <w:tc>
          <w:tcPr>
            <w:tcW w:w="4526" w:type="dxa"/>
          </w:tcPr>
          <w:p w:rsidR="00DD029B" w:rsidRPr="00E178D4" w:rsidRDefault="00DD029B" w:rsidP="00F76DE5">
            <w:pPr>
              <w:spacing w:after="0" w:line="240" w:lineRule="auto"/>
              <w:rPr>
                <w:b/>
              </w:rPr>
            </w:pPr>
            <w:r w:rsidRPr="00E178D4">
              <w:rPr>
                <w:b/>
              </w:rPr>
              <w:t xml:space="preserve">Thèmes abordés </w:t>
            </w:r>
          </w:p>
        </w:tc>
        <w:tc>
          <w:tcPr>
            <w:tcW w:w="4530" w:type="dxa"/>
          </w:tcPr>
          <w:p w:rsidR="00DD029B" w:rsidRPr="00E178D4" w:rsidRDefault="00DD029B" w:rsidP="00F76DE5">
            <w:pPr>
              <w:spacing w:after="0" w:line="240" w:lineRule="auto"/>
              <w:rPr>
                <w:b/>
              </w:rPr>
            </w:pPr>
            <w:r w:rsidRPr="00E178D4">
              <w:rPr>
                <w:b/>
              </w:rPr>
              <w:t xml:space="preserve">Capacités à </w:t>
            </w:r>
            <w:r>
              <w:rPr>
                <w:b/>
              </w:rPr>
              <w:t>privilégier</w:t>
            </w:r>
          </w:p>
        </w:tc>
      </w:tr>
      <w:tr w:rsidR="00DD029B" w:rsidRPr="00E178D4" w:rsidTr="00724B2B">
        <w:trPr>
          <w:trHeight w:val="664"/>
        </w:trPr>
        <w:tc>
          <w:tcPr>
            <w:tcW w:w="4526" w:type="dxa"/>
            <w:tcBorders>
              <w:bottom w:val="dashed" w:sz="4" w:space="0" w:color="auto"/>
            </w:tcBorders>
          </w:tcPr>
          <w:p w:rsidR="00DD029B" w:rsidRPr="00E178D4" w:rsidRDefault="009B7CC8" w:rsidP="00F76DE5">
            <w:pPr>
              <w:pStyle w:val="Default"/>
              <w:rPr>
                <w:rFonts w:asciiTheme="minorHAnsi" w:hAnsiTheme="minorHAnsi"/>
              </w:rPr>
            </w:pPr>
            <w:r>
              <w:rPr>
                <w:rFonts w:asciiTheme="minorHAnsi" w:hAnsiTheme="minorHAnsi"/>
                <w:b/>
                <w:bCs/>
              </w:rPr>
              <w:t>La sécurité chimique et électrique dans l’habitat</w:t>
            </w:r>
          </w:p>
        </w:tc>
        <w:tc>
          <w:tcPr>
            <w:tcW w:w="4530" w:type="dxa"/>
            <w:tcBorders>
              <w:bottom w:val="dashed" w:sz="4" w:space="0" w:color="auto"/>
            </w:tcBorders>
          </w:tcPr>
          <w:p w:rsidR="00DD029B" w:rsidRPr="00E178D4" w:rsidRDefault="00DD029B" w:rsidP="00F76DE5">
            <w:pPr>
              <w:spacing w:after="0" w:line="240" w:lineRule="auto"/>
            </w:pPr>
          </w:p>
        </w:tc>
      </w:tr>
      <w:tr w:rsidR="00DD029B" w:rsidRPr="00E178D4" w:rsidTr="00724B2B">
        <w:trPr>
          <w:trHeight w:val="997"/>
        </w:trPr>
        <w:tc>
          <w:tcPr>
            <w:tcW w:w="4526" w:type="dxa"/>
            <w:tcBorders>
              <w:top w:val="dashed" w:sz="4" w:space="0" w:color="auto"/>
              <w:bottom w:val="dashed" w:sz="4" w:space="0" w:color="auto"/>
            </w:tcBorders>
          </w:tcPr>
          <w:p w:rsidR="00DD029B" w:rsidRPr="008440AF" w:rsidRDefault="009B7CC8" w:rsidP="00F76DE5">
            <w:pPr>
              <w:autoSpaceDE w:val="0"/>
              <w:autoSpaceDN w:val="0"/>
              <w:adjustRightInd w:val="0"/>
              <w:spacing w:after="0" w:line="240" w:lineRule="auto"/>
              <w:rPr>
                <w:rFonts w:cs="Times New Roman"/>
                <w:color w:val="000000"/>
              </w:rPr>
            </w:pPr>
            <w:r>
              <w:rPr>
                <w:rFonts w:cs="Times New Roman"/>
                <w:color w:val="000000"/>
              </w:rPr>
              <w:t>Comment peut-on utiliser les produits ménagers acides ou basiques en toute sécurité ?</w:t>
            </w:r>
          </w:p>
        </w:tc>
        <w:tc>
          <w:tcPr>
            <w:tcW w:w="4530" w:type="dxa"/>
            <w:tcBorders>
              <w:top w:val="dashed" w:sz="4" w:space="0" w:color="auto"/>
              <w:bottom w:val="dashed" w:sz="4" w:space="0" w:color="auto"/>
            </w:tcBorders>
          </w:tcPr>
          <w:p w:rsidR="00DD029B" w:rsidRDefault="009B7CC8" w:rsidP="00F76DE5">
            <w:pPr>
              <w:spacing w:after="0" w:line="240" w:lineRule="auto"/>
            </w:pPr>
            <w:r>
              <w:t xml:space="preserve">Exploiter les relations liant les concentrations massique ou molaire, les quantités de matière correspondantes et le volume </w:t>
            </w:r>
          </w:p>
          <w:p w:rsidR="009B7CC8" w:rsidRPr="00E178D4" w:rsidRDefault="009B7CC8" w:rsidP="00F76DE5">
            <w:pPr>
              <w:spacing w:after="0" w:line="240" w:lineRule="auto"/>
            </w:pPr>
            <w:r>
              <w:t>Définir le caractère neutre, acide ou basique d’une solution aqueuse en termes de pH</w:t>
            </w:r>
          </w:p>
        </w:tc>
      </w:tr>
      <w:tr w:rsidR="00DD029B" w:rsidRPr="00E178D4" w:rsidTr="00724B2B">
        <w:trPr>
          <w:trHeight w:val="720"/>
        </w:trPr>
        <w:tc>
          <w:tcPr>
            <w:tcW w:w="4526" w:type="dxa"/>
            <w:tcBorders>
              <w:top w:val="dashed" w:sz="4" w:space="0" w:color="auto"/>
              <w:bottom w:val="dashed" w:sz="4" w:space="0" w:color="auto"/>
            </w:tcBorders>
          </w:tcPr>
          <w:p w:rsidR="00DD029B" w:rsidRPr="008440AF" w:rsidRDefault="009B7CC8" w:rsidP="00F76DE5">
            <w:pPr>
              <w:autoSpaceDE w:val="0"/>
              <w:autoSpaceDN w:val="0"/>
              <w:adjustRightInd w:val="0"/>
              <w:spacing w:after="0" w:line="240" w:lineRule="auto"/>
            </w:pPr>
            <w:r>
              <w:t>Comment peut-on utiliser les produits désinfectants et antiseptiques en toute sécurité ?</w:t>
            </w:r>
          </w:p>
        </w:tc>
        <w:tc>
          <w:tcPr>
            <w:tcW w:w="4530" w:type="dxa"/>
            <w:tcBorders>
              <w:top w:val="dashed" w:sz="4" w:space="0" w:color="auto"/>
              <w:bottom w:val="dashed" w:sz="4" w:space="0" w:color="auto"/>
            </w:tcBorders>
          </w:tcPr>
          <w:p w:rsidR="00DD029B" w:rsidRDefault="009B7CC8" w:rsidP="00F76DE5">
            <w:pPr>
              <w:spacing w:after="0" w:line="240" w:lineRule="auto"/>
            </w:pPr>
            <w:r>
              <w:t>Définir un oxydant et un réducteur</w:t>
            </w:r>
          </w:p>
          <w:p w:rsidR="009B7CC8" w:rsidRPr="00E178D4" w:rsidRDefault="009B7CC8" w:rsidP="00F76DE5">
            <w:pPr>
              <w:spacing w:after="0" w:line="240" w:lineRule="auto"/>
            </w:pPr>
            <w:r>
              <w:t>Proposer un protocole de dilution d’un produit désinfectant ou antiseptique</w:t>
            </w:r>
          </w:p>
        </w:tc>
      </w:tr>
      <w:tr w:rsidR="00DD029B" w:rsidRPr="00E178D4" w:rsidTr="00724B2B">
        <w:trPr>
          <w:trHeight w:val="787"/>
        </w:trPr>
        <w:tc>
          <w:tcPr>
            <w:tcW w:w="4526" w:type="dxa"/>
            <w:tcBorders>
              <w:top w:val="dashed" w:sz="4" w:space="0" w:color="auto"/>
            </w:tcBorders>
          </w:tcPr>
          <w:p w:rsidR="00DD029B" w:rsidRPr="008440AF" w:rsidRDefault="009B7CC8" w:rsidP="00F76DE5">
            <w:pPr>
              <w:autoSpaceDE w:val="0"/>
              <w:autoSpaceDN w:val="0"/>
              <w:adjustRightInd w:val="0"/>
              <w:spacing w:after="0" w:line="240" w:lineRule="auto"/>
              <w:rPr>
                <w:rFonts w:cs="Times New Roman"/>
                <w:color w:val="000000"/>
              </w:rPr>
            </w:pPr>
            <w:r>
              <w:rPr>
                <w:rFonts w:cs="Times New Roman"/>
                <w:color w:val="000000"/>
              </w:rPr>
              <w:t>Comment les risques électriques dans l’habitat sont-ils limités ?</w:t>
            </w:r>
          </w:p>
        </w:tc>
        <w:tc>
          <w:tcPr>
            <w:tcW w:w="4530" w:type="dxa"/>
            <w:tcBorders>
              <w:top w:val="dashed" w:sz="4" w:space="0" w:color="auto"/>
            </w:tcBorders>
          </w:tcPr>
          <w:p w:rsidR="00DD029B" w:rsidRDefault="009B7CC8" w:rsidP="00F76DE5">
            <w:pPr>
              <w:spacing w:after="0" w:line="240" w:lineRule="auto"/>
            </w:pPr>
            <w:r>
              <w:t>Connaître les caractéristiques de la tension du secteur</w:t>
            </w:r>
          </w:p>
          <w:p w:rsidR="00724B2B" w:rsidRPr="00E178D4" w:rsidRDefault="00724B2B" w:rsidP="00F76DE5">
            <w:pPr>
              <w:spacing w:after="0" w:line="240" w:lineRule="auto"/>
            </w:pPr>
            <w:r>
              <w:t>Citer les mesures essentielles de protection contre les risques électriques</w:t>
            </w:r>
          </w:p>
        </w:tc>
      </w:tr>
      <w:tr w:rsidR="00724B2B" w:rsidRPr="00E178D4" w:rsidTr="00724B2B">
        <w:trPr>
          <w:trHeight w:val="787"/>
        </w:trPr>
        <w:tc>
          <w:tcPr>
            <w:tcW w:w="4526" w:type="dxa"/>
            <w:tcBorders>
              <w:top w:val="dashed" w:sz="4" w:space="0" w:color="auto"/>
            </w:tcBorders>
          </w:tcPr>
          <w:p w:rsidR="00724B2B" w:rsidRDefault="00724B2B" w:rsidP="00F76DE5">
            <w:pPr>
              <w:autoSpaceDE w:val="0"/>
              <w:autoSpaceDN w:val="0"/>
              <w:adjustRightInd w:val="0"/>
              <w:spacing w:after="0" w:line="240" w:lineRule="auto"/>
              <w:rPr>
                <w:rFonts w:cs="Times New Roman"/>
                <w:color w:val="000000"/>
              </w:rPr>
            </w:pPr>
            <w:r>
              <w:rPr>
                <w:rFonts w:cs="Times New Roman"/>
                <w:color w:val="000000"/>
              </w:rPr>
              <w:t>Comment les infrarouges sont-ils utilisés dans certains systèmes de détection ?</w:t>
            </w:r>
          </w:p>
        </w:tc>
        <w:tc>
          <w:tcPr>
            <w:tcW w:w="4530" w:type="dxa"/>
            <w:tcBorders>
              <w:top w:val="dashed" w:sz="4" w:space="0" w:color="auto"/>
            </w:tcBorders>
          </w:tcPr>
          <w:p w:rsidR="00724B2B" w:rsidRDefault="00724B2B" w:rsidP="00F76DE5">
            <w:pPr>
              <w:spacing w:after="0" w:line="240" w:lineRule="auto"/>
            </w:pPr>
            <w:r>
              <w:t>Associer une longueur d’onde à un domaine du spectre électromagnétique</w:t>
            </w:r>
          </w:p>
          <w:p w:rsidR="00724B2B" w:rsidRDefault="00724B2B" w:rsidP="00F76DE5">
            <w:pPr>
              <w:spacing w:after="0" w:line="240" w:lineRule="auto"/>
            </w:pPr>
            <w:r>
              <w:t>Exploiter graphiquement la loi de Wien afin de montrer que le corps humain est émetteur d’un rayonnement infrarouge</w:t>
            </w:r>
          </w:p>
        </w:tc>
      </w:tr>
      <w:tr w:rsidR="00DD029B" w:rsidRPr="00E178D4" w:rsidTr="00724B2B">
        <w:trPr>
          <w:trHeight w:val="787"/>
        </w:trPr>
        <w:tc>
          <w:tcPr>
            <w:tcW w:w="9056" w:type="dxa"/>
            <w:gridSpan w:val="2"/>
            <w:tcBorders>
              <w:top w:val="dashed" w:sz="4" w:space="0" w:color="auto"/>
            </w:tcBorders>
          </w:tcPr>
          <w:p w:rsidR="00DD029B" w:rsidRPr="007E4B4E" w:rsidRDefault="00DD029B" w:rsidP="00F76DE5">
            <w:pPr>
              <w:spacing w:after="0" w:line="240" w:lineRule="auto"/>
              <w:rPr>
                <w:color w:val="FF0000"/>
              </w:rPr>
            </w:pPr>
            <w:r w:rsidRPr="00E178D4">
              <w:rPr>
                <w:b/>
                <w:color w:val="FF0000"/>
                <w:u w:val="single"/>
              </w:rPr>
              <w:lastRenderedPageBreak/>
              <w:t>Conseils</w:t>
            </w:r>
            <w:r w:rsidRPr="00E178D4">
              <w:rPr>
                <w:b/>
                <w:color w:val="FF0000"/>
              </w:rPr>
              <w:t> :</w:t>
            </w:r>
            <w:r w:rsidRPr="00E178D4">
              <w:rPr>
                <w:color w:val="FF0000"/>
              </w:rPr>
              <w:t xml:space="preserve"> </w:t>
            </w:r>
            <w:r w:rsidR="00D00520">
              <w:rPr>
                <w:color w:val="FF0000"/>
              </w:rPr>
              <w:t>l</w:t>
            </w:r>
            <w:r>
              <w:rPr>
                <w:color w:val="FF0000"/>
              </w:rPr>
              <w:t xml:space="preserve">a mise en œuvre </w:t>
            </w:r>
            <w:r w:rsidR="00724B2B">
              <w:rPr>
                <w:color w:val="FF0000"/>
              </w:rPr>
              <w:t>expérimentale doit être seulement réalisée par l’enseignant et s’appuyer sur des études de cas concrètes en lien avec des dispositifs technologiques</w:t>
            </w:r>
            <w:r w:rsidR="00D00520">
              <w:rPr>
                <w:color w:val="FF0000"/>
              </w:rPr>
              <w:t xml:space="preserve"> ; </w:t>
            </w:r>
            <w:r w:rsidR="00724B2B">
              <w:rPr>
                <w:color w:val="FF0000"/>
              </w:rPr>
              <w:t xml:space="preserve">les élèves </w:t>
            </w:r>
            <w:r w:rsidR="00D00520">
              <w:rPr>
                <w:color w:val="FF0000"/>
              </w:rPr>
              <w:t>peuvent être mobilisés pour</w:t>
            </w:r>
            <w:r w:rsidR="00724B2B">
              <w:rPr>
                <w:color w:val="FF0000"/>
              </w:rPr>
              <w:t xml:space="preserve"> mettre en œuvre un raisonnement dans le cadre de la démarche technologique.</w:t>
            </w:r>
          </w:p>
        </w:tc>
      </w:tr>
      <w:tr w:rsidR="00DD029B" w:rsidRPr="00E178D4" w:rsidTr="00724B2B">
        <w:trPr>
          <w:trHeight w:val="64"/>
        </w:trPr>
        <w:tc>
          <w:tcPr>
            <w:tcW w:w="4526" w:type="dxa"/>
            <w:tcBorders>
              <w:bottom w:val="dashed" w:sz="4" w:space="0" w:color="auto"/>
            </w:tcBorders>
          </w:tcPr>
          <w:p w:rsidR="00DD029B" w:rsidRPr="002F14FC" w:rsidRDefault="00724B2B" w:rsidP="00F76DE5">
            <w:pPr>
              <w:pStyle w:val="Default"/>
              <w:rPr>
                <w:rFonts w:asciiTheme="minorHAnsi" w:hAnsiTheme="minorHAnsi"/>
                <w:b/>
                <w:bCs/>
              </w:rPr>
            </w:pPr>
            <w:r>
              <w:rPr>
                <w:rFonts w:asciiTheme="minorHAnsi" w:hAnsiTheme="minorHAnsi"/>
                <w:b/>
                <w:bCs/>
              </w:rPr>
              <w:t>La sécurité routière</w:t>
            </w:r>
          </w:p>
        </w:tc>
        <w:tc>
          <w:tcPr>
            <w:tcW w:w="4530" w:type="dxa"/>
            <w:tcBorders>
              <w:bottom w:val="dashed" w:sz="4" w:space="0" w:color="auto"/>
            </w:tcBorders>
          </w:tcPr>
          <w:p w:rsidR="00DD029B" w:rsidRPr="00E178D4" w:rsidRDefault="00DD029B" w:rsidP="00F76DE5">
            <w:pPr>
              <w:spacing w:after="0" w:line="240" w:lineRule="auto"/>
            </w:pPr>
          </w:p>
        </w:tc>
      </w:tr>
      <w:tr w:rsidR="00DD029B" w:rsidRPr="00E178D4" w:rsidTr="00724B2B">
        <w:trPr>
          <w:trHeight w:val="418"/>
        </w:trPr>
        <w:tc>
          <w:tcPr>
            <w:tcW w:w="4526" w:type="dxa"/>
            <w:tcBorders>
              <w:top w:val="dashed" w:sz="4" w:space="0" w:color="auto"/>
              <w:bottom w:val="dashed" w:sz="4" w:space="0" w:color="auto"/>
            </w:tcBorders>
          </w:tcPr>
          <w:p w:rsidR="00DD029B" w:rsidRPr="002F14FC" w:rsidRDefault="00724B2B" w:rsidP="00F76DE5">
            <w:pPr>
              <w:autoSpaceDE w:val="0"/>
              <w:autoSpaceDN w:val="0"/>
              <w:adjustRightInd w:val="0"/>
              <w:spacing w:after="0" w:line="240" w:lineRule="auto"/>
              <w:rPr>
                <w:rFonts w:cs="Times New Roman"/>
                <w:color w:val="000000"/>
              </w:rPr>
            </w:pPr>
            <w:r>
              <w:rPr>
                <w:rFonts w:cs="Times New Roman"/>
                <w:color w:val="000000"/>
              </w:rPr>
              <w:t>Comment la vitesse d’un véhicule influe-t-elle sur sa distance d’arrêt</w:t>
            </w:r>
          </w:p>
        </w:tc>
        <w:tc>
          <w:tcPr>
            <w:tcW w:w="4530" w:type="dxa"/>
            <w:tcBorders>
              <w:top w:val="dashed" w:sz="4" w:space="0" w:color="auto"/>
              <w:bottom w:val="dashed" w:sz="4" w:space="0" w:color="auto"/>
            </w:tcBorders>
          </w:tcPr>
          <w:p w:rsidR="00DD029B" w:rsidRPr="00E178D4" w:rsidRDefault="00724B2B" w:rsidP="00F76DE5">
            <w:pPr>
              <w:spacing w:after="0" w:line="240" w:lineRule="auto"/>
            </w:pPr>
            <w:r>
              <w:t>Exploiter la relation donnant l’énergie cinétique en fonction de la masse et de la vitesse</w:t>
            </w:r>
          </w:p>
        </w:tc>
      </w:tr>
      <w:tr w:rsidR="00DD029B" w:rsidRPr="00E178D4" w:rsidTr="00546333">
        <w:trPr>
          <w:trHeight w:val="459"/>
        </w:trPr>
        <w:tc>
          <w:tcPr>
            <w:tcW w:w="9056" w:type="dxa"/>
            <w:gridSpan w:val="2"/>
            <w:tcBorders>
              <w:top w:val="dashed" w:sz="4" w:space="0" w:color="auto"/>
            </w:tcBorders>
          </w:tcPr>
          <w:p w:rsidR="00DD029B" w:rsidRPr="00724B2B" w:rsidRDefault="00DD029B" w:rsidP="00F76DE5">
            <w:pPr>
              <w:spacing w:after="0" w:line="240" w:lineRule="auto"/>
              <w:rPr>
                <w:bCs/>
              </w:rPr>
            </w:pPr>
            <w:r w:rsidRPr="00E178D4">
              <w:rPr>
                <w:b/>
                <w:color w:val="FF0000"/>
                <w:u w:val="single"/>
              </w:rPr>
              <w:t>Conseils</w:t>
            </w:r>
            <w:r w:rsidRPr="00E178D4">
              <w:rPr>
                <w:b/>
                <w:color w:val="FF0000"/>
              </w:rPr>
              <w:t> :</w:t>
            </w:r>
            <w:r w:rsidR="00724B2B">
              <w:rPr>
                <w:b/>
                <w:color w:val="FF0000"/>
              </w:rPr>
              <w:t xml:space="preserve"> </w:t>
            </w:r>
            <w:r w:rsidR="00724B2B">
              <w:rPr>
                <w:bCs/>
                <w:color w:val="FF0000"/>
              </w:rPr>
              <w:t>cette partie peut être illustrée au moyen de simulations afin de souligner les rôles des différents paramètres sur la distance d’arrêt d’un véhicule.</w:t>
            </w:r>
          </w:p>
        </w:tc>
      </w:tr>
    </w:tbl>
    <w:p w:rsidR="00C37E6A" w:rsidRDefault="003508EF" w:rsidP="009E322C">
      <w:pPr>
        <w:spacing w:line="240" w:lineRule="auto"/>
      </w:pPr>
    </w:p>
    <w:p w:rsidR="00724B2B" w:rsidRPr="00724B2B" w:rsidRDefault="00724B2B" w:rsidP="009E322C">
      <w:pPr>
        <w:pStyle w:val="Paragraphedeliste"/>
        <w:numPr>
          <w:ilvl w:val="0"/>
          <w:numId w:val="1"/>
        </w:numPr>
        <w:spacing w:line="240" w:lineRule="auto"/>
      </w:pPr>
      <w:r w:rsidRPr="00724B2B">
        <w:rPr>
          <w:b/>
          <w:sz w:val="24"/>
        </w:rPr>
        <w:t xml:space="preserve">Thème 2 : </w:t>
      </w:r>
      <w:r>
        <w:rPr>
          <w:b/>
          <w:sz w:val="24"/>
        </w:rPr>
        <w:t>Analyser et diagnostiquer</w:t>
      </w:r>
    </w:p>
    <w:tbl>
      <w:tblPr>
        <w:tblStyle w:val="Grilledutableau"/>
        <w:tblW w:w="0" w:type="auto"/>
        <w:tblLook w:val="04A0" w:firstRow="1" w:lastRow="0" w:firstColumn="1" w:lastColumn="0" w:noHBand="0" w:noVBand="1"/>
      </w:tblPr>
      <w:tblGrid>
        <w:gridCol w:w="4527"/>
        <w:gridCol w:w="4529"/>
      </w:tblGrid>
      <w:tr w:rsidR="00724B2B" w:rsidRPr="00E178D4" w:rsidTr="00A72302">
        <w:tc>
          <w:tcPr>
            <w:tcW w:w="4527" w:type="dxa"/>
          </w:tcPr>
          <w:p w:rsidR="00724B2B" w:rsidRPr="00E178D4" w:rsidRDefault="00724B2B" w:rsidP="00F76DE5">
            <w:pPr>
              <w:spacing w:after="0" w:line="240" w:lineRule="auto"/>
              <w:rPr>
                <w:b/>
              </w:rPr>
            </w:pPr>
            <w:r w:rsidRPr="00E178D4">
              <w:rPr>
                <w:b/>
              </w:rPr>
              <w:t xml:space="preserve">Thèmes abordés </w:t>
            </w:r>
          </w:p>
        </w:tc>
        <w:tc>
          <w:tcPr>
            <w:tcW w:w="4529" w:type="dxa"/>
          </w:tcPr>
          <w:p w:rsidR="00724B2B" w:rsidRPr="00E178D4" w:rsidRDefault="00724B2B" w:rsidP="00F76DE5">
            <w:pPr>
              <w:spacing w:after="0" w:line="240" w:lineRule="auto"/>
              <w:rPr>
                <w:b/>
              </w:rPr>
            </w:pPr>
            <w:r w:rsidRPr="00E178D4">
              <w:rPr>
                <w:b/>
              </w:rPr>
              <w:t xml:space="preserve">Capacités à </w:t>
            </w:r>
            <w:r>
              <w:rPr>
                <w:b/>
              </w:rPr>
              <w:t>privilégier</w:t>
            </w:r>
          </w:p>
        </w:tc>
      </w:tr>
      <w:tr w:rsidR="00724B2B" w:rsidRPr="00E178D4" w:rsidTr="00A72302">
        <w:trPr>
          <w:trHeight w:val="664"/>
        </w:trPr>
        <w:tc>
          <w:tcPr>
            <w:tcW w:w="4527" w:type="dxa"/>
            <w:tcBorders>
              <w:bottom w:val="dashed" w:sz="4" w:space="0" w:color="auto"/>
            </w:tcBorders>
          </w:tcPr>
          <w:p w:rsidR="00724B2B" w:rsidRPr="00E178D4" w:rsidRDefault="00724B2B" w:rsidP="00F76DE5">
            <w:pPr>
              <w:pStyle w:val="Default"/>
              <w:rPr>
                <w:rFonts w:asciiTheme="minorHAnsi" w:hAnsiTheme="minorHAnsi"/>
              </w:rPr>
            </w:pPr>
            <w:r>
              <w:rPr>
                <w:rFonts w:asciiTheme="minorHAnsi" w:hAnsiTheme="minorHAnsi"/>
                <w:b/>
                <w:bCs/>
              </w:rPr>
              <w:t xml:space="preserve">Les ondes </w:t>
            </w:r>
            <w:r w:rsidR="00002B55">
              <w:rPr>
                <w:rFonts w:asciiTheme="minorHAnsi" w:hAnsiTheme="minorHAnsi"/>
                <w:b/>
                <w:bCs/>
              </w:rPr>
              <w:t>sonores dans le processus d’audition</w:t>
            </w:r>
          </w:p>
        </w:tc>
        <w:tc>
          <w:tcPr>
            <w:tcW w:w="4529" w:type="dxa"/>
            <w:tcBorders>
              <w:bottom w:val="dashed" w:sz="4" w:space="0" w:color="auto"/>
            </w:tcBorders>
          </w:tcPr>
          <w:p w:rsidR="00724B2B" w:rsidRPr="00E178D4" w:rsidRDefault="00724B2B" w:rsidP="00F76DE5">
            <w:pPr>
              <w:spacing w:after="0" w:line="240" w:lineRule="auto"/>
            </w:pPr>
          </w:p>
        </w:tc>
      </w:tr>
      <w:tr w:rsidR="00724B2B" w:rsidRPr="00E178D4" w:rsidTr="00A72302">
        <w:trPr>
          <w:trHeight w:val="997"/>
        </w:trPr>
        <w:tc>
          <w:tcPr>
            <w:tcW w:w="4527" w:type="dxa"/>
            <w:tcBorders>
              <w:top w:val="dashed" w:sz="4" w:space="0" w:color="auto"/>
              <w:bottom w:val="dashed" w:sz="4" w:space="0" w:color="auto"/>
            </w:tcBorders>
          </w:tcPr>
          <w:p w:rsidR="00724B2B" w:rsidRPr="008440AF" w:rsidRDefault="00002B55" w:rsidP="00F76DE5">
            <w:pPr>
              <w:autoSpaceDE w:val="0"/>
              <w:autoSpaceDN w:val="0"/>
              <w:adjustRightInd w:val="0"/>
              <w:spacing w:after="0" w:line="240" w:lineRule="auto"/>
              <w:rPr>
                <w:rFonts w:cs="Times New Roman"/>
                <w:color w:val="000000"/>
              </w:rPr>
            </w:pPr>
            <w:r>
              <w:rPr>
                <w:rFonts w:cs="Times New Roman"/>
                <w:color w:val="000000"/>
              </w:rPr>
              <w:t>Quelles sont les caractéristiques d’un son</w:t>
            </w:r>
            <w:r w:rsidR="00724B2B">
              <w:rPr>
                <w:rFonts w:cs="Times New Roman"/>
                <w:color w:val="000000"/>
              </w:rPr>
              <w:t> ?</w:t>
            </w:r>
          </w:p>
        </w:tc>
        <w:tc>
          <w:tcPr>
            <w:tcW w:w="4529" w:type="dxa"/>
            <w:tcBorders>
              <w:top w:val="dashed" w:sz="4" w:space="0" w:color="auto"/>
              <w:bottom w:val="dashed" w:sz="4" w:space="0" w:color="auto"/>
            </w:tcBorders>
          </w:tcPr>
          <w:p w:rsidR="00724B2B" w:rsidRPr="00E178D4" w:rsidRDefault="007068B3" w:rsidP="00F76DE5">
            <w:pPr>
              <w:spacing w:after="0" w:line="240" w:lineRule="auto"/>
            </w:pPr>
            <w:r>
              <w:t>Distinguer</w:t>
            </w:r>
            <w:r w:rsidR="00002B55">
              <w:t xml:space="preserve"> un signal sonore</w:t>
            </w:r>
            <w:r>
              <w:t xml:space="preserve">, ultrasonore ou infrasonore </w:t>
            </w:r>
            <w:r w:rsidR="00002B55">
              <w:t>en fonction de sa fréquence</w:t>
            </w:r>
          </w:p>
        </w:tc>
      </w:tr>
      <w:tr w:rsidR="00724B2B" w:rsidRPr="00E178D4" w:rsidTr="00A72302">
        <w:trPr>
          <w:trHeight w:val="720"/>
        </w:trPr>
        <w:tc>
          <w:tcPr>
            <w:tcW w:w="4527" w:type="dxa"/>
            <w:tcBorders>
              <w:top w:val="dashed" w:sz="4" w:space="0" w:color="auto"/>
              <w:bottom w:val="dashed" w:sz="4" w:space="0" w:color="auto"/>
            </w:tcBorders>
          </w:tcPr>
          <w:p w:rsidR="00724B2B" w:rsidRPr="008440AF" w:rsidRDefault="007068B3" w:rsidP="00F76DE5">
            <w:pPr>
              <w:autoSpaceDE w:val="0"/>
              <w:autoSpaceDN w:val="0"/>
              <w:adjustRightInd w:val="0"/>
              <w:spacing w:after="0" w:line="240" w:lineRule="auto"/>
            </w:pPr>
            <w:r>
              <w:t>Comment une perte auditive est-elle identifiée et compensée</w:t>
            </w:r>
            <w:r w:rsidR="00724B2B">
              <w:t> ?</w:t>
            </w:r>
          </w:p>
        </w:tc>
        <w:tc>
          <w:tcPr>
            <w:tcW w:w="4529" w:type="dxa"/>
            <w:tcBorders>
              <w:top w:val="dashed" w:sz="4" w:space="0" w:color="auto"/>
              <w:bottom w:val="dashed" w:sz="4" w:space="0" w:color="auto"/>
            </w:tcBorders>
          </w:tcPr>
          <w:p w:rsidR="00724B2B" w:rsidRPr="00E178D4" w:rsidRDefault="007068B3" w:rsidP="00F76DE5">
            <w:pPr>
              <w:spacing w:after="0" w:line="240" w:lineRule="auto"/>
            </w:pPr>
            <w:r>
              <w:t>Analyser un audiogramme en termes de perte auditive</w:t>
            </w:r>
          </w:p>
        </w:tc>
      </w:tr>
      <w:tr w:rsidR="00724B2B" w:rsidRPr="00E178D4" w:rsidTr="00546333">
        <w:trPr>
          <w:trHeight w:val="71"/>
        </w:trPr>
        <w:tc>
          <w:tcPr>
            <w:tcW w:w="9056" w:type="dxa"/>
            <w:gridSpan w:val="2"/>
            <w:tcBorders>
              <w:top w:val="dashed" w:sz="4" w:space="0" w:color="auto"/>
            </w:tcBorders>
          </w:tcPr>
          <w:p w:rsidR="00724B2B" w:rsidRPr="007068B3" w:rsidRDefault="00724B2B" w:rsidP="00F76DE5">
            <w:pPr>
              <w:spacing w:after="0" w:line="240" w:lineRule="auto"/>
              <w:rPr>
                <w:bCs/>
                <w:color w:val="FF0000"/>
              </w:rPr>
            </w:pPr>
            <w:r w:rsidRPr="00E178D4">
              <w:rPr>
                <w:b/>
                <w:color w:val="FF0000"/>
                <w:u w:val="single"/>
              </w:rPr>
              <w:t>Conseils</w:t>
            </w:r>
            <w:r w:rsidRPr="00E178D4">
              <w:rPr>
                <w:b/>
                <w:color w:val="FF0000"/>
              </w:rPr>
              <w:t> :</w:t>
            </w:r>
            <w:r w:rsidR="007068B3">
              <w:rPr>
                <w:b/>
                <w:color w:val="FF0000"/>
              </w:rPr>
              <w:t xml:space="preserve"> </w:t>
            </w:r>
            <w:r w:rsidR="007068B3">
              <w:rPr>
                <w:bCs/>
                <w:color w:val="FF0000"/>
              </w:rPr>
              <w:t>cette partie peut s’appuyer sur l’analyse d’audiogrammes.</w:t>
            </w:r>
          </w:p>
        </w:tc>
      </w:tr>
      <w:tr w:rsidR="00724B2B" w:rsidRPr="00E178D4" w:rsidTr="00A72302">
        <w:trPr>
          <w:trHeight w:val="64"/>
        </w:trPr>
        <w:tc>
          <w:tcPr>
            <w:tcW w:w="4527" w:type="dxa"/>
            <w:tcBorders>
              <w:bottom w:val="dashed" w:sz="4" w:space="0" w:color="auto"/>
            </w:tcBorders>
          </w:tcPr>
          <w:p w:rsidR="00724B2B" w:rsidRPr="002F14FC" w:rsidRDefault="00724B2B" w:rsidP="00F76DE5">
            <w:pPr>
              <w:pStyle w:val="Default"/>
              <w:rPr>
                <w:rFonts w:asciiTheme="minorHAnsi" w:hAnsiTheme="minorHAnsi"/>
                <w:b/>
                <w:bCs/>
              </w:rPr>
            </w:pPr>
            <w:r>
              <w:rPr>
                <w:rFonts w:asciiTheme="minorHAnsi" w:hAnsiTheme="minorHAnsi"/>
                <w:b/>
                <w:bCs/>
              </w:rPr>
              <w:t xml:space="preserve">La </w:t>
            </w:r>
            <w:r w:rsidR="007068B3">
              <w:rPr>
                <w:rFonts w:asciiTheme="minorHAnsi" w:hAnsiTheme="minorHAnsi"/>
                <w:b/>
                <w:bCs/>
              </w:rPr>
              <w:t>propagation de la lumière dans le processus de la vision</w:t>
            </w:r>
          </w:p>
        </w:tc>
        <w:tc>
          <w:tcPr>
            <w:tcW w:w="4529" w:type="dxa"/>
            <w:tcBorders>
              <w:bottom w:val="dashed" w:sz="4" w:space="0" w:color="auto"/>
            </w:tcBorders>
          </w:tcPr>
          <w:p w:rsidR="00724B2B" w:rsidRPr="00E178D4" w:rsidRDefault="00724B2B" w:rsidP="00F76DE5">
            <w:pPr>
              <w:spacing w:after="0" w:line="240" w:lineRule="auto"/>
            </w:pPr>
          </w:p>
        </w:tc>
      </w:tr>
      <w:tr w:rsidR="00724B2B" w:rsidRPr="00E178D4" w:rsidTr="00A72302">
        <w:trPr>
          <w:trHeight w:val="418"/>
        </w:trPr>
        <w:tc>
          <w:tcPr>
            <w:tcW w:w="4527" w:type="dxa"/>
            <w:tcBorders>
              <w:top w:val="dashed" w:sz="4" w:space="0" w:color="auto"/>
              <w:bottom w:val="dashed" w:sz="4" w:space="0" w:color="auto"/>
            </w:tcBorders>
          </w:tcPr>
          <w:p w:rsidR="00724B2B" w:rsidRPr="002F14FC" w:rsidRDefault="007068B3" w:rsidP="00F76DE5">
            <w:pPr>
              <w:autoSpaceDE w:val="0"/>
              <w:autoSpaceDN w:val="0"/>
              <w:adjustRightInd w:val="0"/>
              <w:spacing w:after="0" w:line="240" w:lineRule="auto"/>
              <w:rPr>
                <w:rFonts w:cs="Times New Roman"/>
                <w:color w:val="000000"/>
              </w:rPr>
            </w:pPr>
            <w:r>
              <w:rPr>
                <w:rFonts w:cs="Times New Roman"/>
                <w:color w:val="000000"/>
              </w:rPr>
              <w:t>Quel est le mécanisme de la vision chez l’être humain</w:t>
            </w:r>
          </w:p>
        </w:tc>
        <w:tc>
          <w:tcPr>
            <w:tcW w:w="4529" w:type="dxa"/>
            <w:tcBorders>
              <w:top w:val="dashed" w:sz="4" w:space="0" w:color="auto"/>
              <w:bottom w:val="dashed" w:sz="4" w:space="0" w:color="auto"/>
            </w:tcBorders>
          </w:tcPr>
          <w:p w:rsidR="00724B2B" w:rsidRDefault="007068B3" w:rsidP="00F76DE5">
            <w:pPr>
              <w:spacing w:after="0" w:line="240" w:lineRule="auto"/>
            </w:pPr>
            <w:r>
              <w:t>Exploiter la propagation rectiligne de la lumière dans un milieu homogène et transparent</w:t>
            </w:r>
          </w:p>
          <w:p w:rsidR="007068B3" w:rsidRPr="00E178D4" w:rsidRDefault="007068B3" w:rsidP="00F76DE5">
            <w:pPr>
              <w:spacing w:after="0" w:line="240" w:lineRule="auto"/>
            </w:pPr>
            <w:r>
              <w:t>Identifier les composants optiques principaux de l’œil et leur rôle respectif</w:t>
            </w:r>
          </w:p>
        </w:tc>
      </w:tr>
      <w:tr w:rsidR="007068B3" w:rsidRPr="00E178D4" w:rsidTr="00A72302">
        <w:trPr>
          <w:trHeight w:val="418"/>
        </w:trPr>
        <w:tc>
          <w:tcPr>
            <w:tcW w:w="4527" w:type="dxa"/>
            <w:tcBorders>
              <w:top w:val="dashed" w:sz="4" w:space="0" w:color="auto"/>
              <w:bottom w:val="dashed" w:sz="4" w:space="0" w:color="auto"/>
            </w:tcBorders>
          </w:tcPr>
          <w:p w:rsidR="007068B3" w:rsidRDefault="007068B3" w:rsidP="00F76DE5">
            <w:pPr>
              <w:autoSpaceDE w:val="0"/>
              <w:autoSpaceDN w:val="0"/>
              <w:adjustRightInd w:val="0"/>
              <w:spacing w:after="0" w:line="240" w:lineRule="auto"/>
              <w:rPr>
                <w:rFonts w:cs="Times New Roman"/>
                <w:color w:val="000000"/>
              </w:rPr>
            </w:pPr>
            <w:r>
              <w:rPr>
                <w:rFonts w:cs="Times New Roman"/>
                <w:color w:val="000000"/>
              </w:rPr>
              <w:t>Comment se forme une image à l’aide d’une lentille ?</w:t>
            </w:r>
          </w:p>
        </w:tc>
        <w:tc>
          <w:tcPr>
            <w:tcW w:w="4529" w:type="dxa"/>
            <w:tcBorders>
              <w:top w:val="dashed" w:sz="4" w:space="0" w:color="auto"/>
              <w:bottom w:val="dashed" w:sz="4" w:space="0" w:color="auto"/>
            </w:tcBorders>
          </w:tcPr>
          <w:p w:rsidR="007068B3" w:rsidRDefault="007068B3" w:rsidP="00F76DE5">
            <w:pPr>
              <w:spacing w:after="0" w:line="240" w:lineRule="auto"/>
            </w:pPr>
            <w:r>
              <w:t>Construire géométriquement l’image d’objet réel par une lentille convergente</w:t>
            </w:r>
          </w:p>
          <w:p w:rsidR="007068B3" w:rsidRDefault="007068B3" w:rsidP="00F76DE5">
            <w:pPr>
              <w:spacing w:after="0" w:line="240" w:lineRule="auto"/>
            </w:pPr>
            <w:r>
              <w:t xml:space="preserve">Identifier le caractère réel ou virtuel d’une image </w:t>
            </w:r>
          </w:p>
        </w:tc>
      </w:tr>
      <w:tr w:rsidR="007068B3" w:rsidRPr="00E178D4" w:rsidTr="00A72302">
        <w:trPr>
          <w:trHeight w:val="418"/>
        </w:trPr>
        <w:tc>
          <w:tcPr>
            <w:tcW w:w="4527" w:type="dxa"/>
            <w:tcBorders>
              <w:top w:val="dashed" w:sz="4" w:space="0" w:color="auto"/>
              <w:bottom w:val="dashed" w:sz="4" w:space="0" w:color="auto"/>
            </w:tcBorders>
          </w:tcPr>
          <w:p w:rsidR="007068B3" w:rsidRDefault="007068B3" w:rsidP="00F76DE5">
            <w:pPr>
              <w:autoSpaceDE w:val="0"/>
              <w:autoSpaceDN w:val="0"/>
              <w:adjustRightInd w:val="0"/>
              <w:spacing w:after="0" w:line="240" w:lineRule="auto"/>
              <w:rPr>
                <w:rFonts w:cs="Times New Roman"/>
                <w:color w:val="000000"/>
              </w:rPr>
            </w:pPr>
            <w:r>
              <w:rPr>
                <w:rFonts w:cs="Times New Roman"/>
                <w:color w:val="000000"/>
              </w:rPr>
              <w:t>Comment les défauts de la vision sont-ils corrigés ?</w:t>
            </w:r>
          </w:p>
        </w:tc>
        <w:tc>
          <w:tcPr>
            <w:tcW w:w="4529" w:type="dxa"/>
            <w:tcBorders>
              <w:top w:val="dashed" w:sz="4" w:space="0" w:color="auto"/>
              <w:bottom w:val="dashed" w:sz="4" w:space="0" w:color="auto"/>
            </w:tcBorders>
          </w:tcPr>
          <w:p w:rsidR="007068B3" w:rsidRDefault="007068B3" w:rsidP="00F76DE5">
            <w:pPr>
              <w:spacing w:after="0" w:line="240" w:lineRule="auto"/>
            </w:pPr>
            <w:r>
              <w:t>Expliquer le principe de l’accom</w:t>
            </w:r>
            <w:r w:rsidR="00E9714E">
              <w:t>m</w:t>
            </w:r>
            <w:r>
              <w:t>odation</w:t>
            </w:r>
          </w:p>
          <w:p w:rsidR="007068B3" w:rsidRDefault="002E425B" w:rsidP="00F76DE5">
            <w:pPr>
              <w:spacing w:after="0" w:line="240" w:lineRule="auto"/>
            </w:pPr>
            <w:r>
              <w:t>Identifier un œil myope ou hypermétrope</w:t>
            </w:r>
          </w:p>
        </w:tc>
      </w:tr>
      <w:tr w:rsidR="00724B2B" w:rsidRPr="00E178D4" w:rsidTr="00F76DE5">
        <w:trPr>
          <w:trHeight w:val="525"/>
        </w:trPr>
        <w:tc>
          <w:tcPr>
            <w:tcW w:w="9056" w:type="dxa"/>
            <w:gridSpan w:val="2"/>
            <w:tcBorders>
              <w:top w:val="dashed" w:sz="4" w:space="0" w:color="auto"/>
              <w:bottom w:val="dashed" w:sz="4" w:space="0" w:color="auto"/>
            </w:tcBorders>
          </w:tcPr>
          <w:p w:rsidR="00724B2B" w:rsidRPr="00724B2B" w:rsidRDefault="00724B2B"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Pr>
                <w:bCs/>
                <w:color w:val="FF0000"/>
              </w:rPr>
              <w:t xml:space="preserve">cette partie </w:t>
            </w:r>
            <w:r w:rsidR="002E425B">
              <w:rPr>
                <w:bCs/>
                <w:color w:val="FF0000"/>
              </w:rPr>
              <w:t>donne</w:t>
            </w:r>
            <w:r>
              <w:rPr>
                <w:bCs/>
                <w:color w:val="FF0000"/>
              </w:rPr>
              <w:t xml:space="preserve"> </w:t>
            </w:r>
            <w:r w:rsidR="007068B3">
              <w:rPr>
                <w:bCs/>
                <w:color w:val="FF0000"/>
              </w:rPr>
              <w:t xml:space="preserve">l’occasion de travailler </w:t>
            </w:r>
            <w:r w:rsidR="002E425B">
              <w:rPr>
                <w:bCs/>
                <w:color w:val="FF0000"/>
              </w:rPr>
              <w:t>sur des modèles géométriques et des schémas.</w:t>
            </w:r>
          </w:p>
        </w:tc>
      </w:tr>
      <w:tr w:rsidR="002E425B" w:rsidRPr="00E178D4" w:rsidTr="00A72302">
        <w:trPr>
          <w:trHeight w:val="64"/>
        </w:trPr>
        <w:tc>
          <w:tcPr>
            <w:tcW w:w="4527" w:type="dxa"/>
            <w:tcBorders>
              <w:bottom w:val="dashed" w:sz="4" w:space="0" w:color="auto"/>
            </w:tcBorders>
          </w:tcPr>
          <w:p w:rsidR="002E425B" w:rsidRPr="002F14FC" w:rsidRDefault="002E425B" w:rsidP="00F76DE5">
            <w:pPr>
              <w:pStyle w:val="Default"/>
              <w:rPr>
                <w:rFonts w:asciiTheme="minorHAnsi" w:hAnsiTheme="minorHAnsi"/>
                <w:b/>
                <w:bCs/>
              </w:rPr>
            </w:pPr>
            <w:r>
              <w:rPr>
                <w:rFonts w:asciiTheme="minorHAnsi" w:hAnsiTheme="minorHAnsi"/>
                <w:b/>
                <w:bCs/>
              </w:rPr>
              <w:t>Les propriétés des fluides dans l’analyse de la pression sanguine</w:t>
            </w:r>
          </w:p>
        </w:tc>
        <w:tc>
          <w:tcPr>
            <w:tcW w:w="4529" w:type="dxa"/>
            <w:tcBorders>
              <w:bottom w:val="dashed" w:sz="4" w:space="0" w:color="auto"/>
            </w:tcBorders>
          </w:tcPr>
          <w:p w:rsidR="002E425B" w:rsidRPr="00E178D4" w:rsidRDefault="002E425B" w:rsidP="00F76DE5">
            <w:pPr>
              <w:spacing w:after="0" w:line="240" w:lineRule="auto"/>
            </w:pPr>
          </w:p>
        </w:tc>
      </w:tr>
      <w:tr w:rsidR="002E425B" w:rsidRPr="00E178D4" w:rsidTr="00A72302">
        <w:trPr>
          <w:trHeight w:val="418"/>
        </w:trPr>
        <w:tc>
          <w:tcPr>
            <w:tcW w:w="4527" w:type="dxa"/>
            <w:tcBorders>
              <w:top w:val="dashed" w:sz="4" w:space="0" w:color="auto"/>
              <w:bottom w:val="dashed" w:sz="4" w:space="0" w:color="auto"/>
            </w:tcBorders>
          </w:tcPr>
          <w:p w:rsidR="002E425B" w:rsidRPr="002F14FC" w:rsidRDefault="002E425B" w:rsidP="00F76DE5">
            <w:pPr>
              <w:autoSpaceDE w:val="0"/>
              <w:autoSpaceDN w:val="0"/>
              <w:adjustRightInd w:val="0"/>
              <w:spacing w:after="0" w:line="240" w:lineRule="auto"/>
              <w:rPr>
                <w:rFonts w:cs="Times New Roman"/>
                <w:color w:val="000000"/>
              </w:rPr>
            </w:pPr>
            <w:r>
              <w:rPr>
                <w:rFonts w:cs="Times New Roman"/>
                <w:color w:val="000000"/>
              </w:rPr>
              <w:t>Comment définir le débit d’un écoulement</w:t>
            </w:r>
            <w:r w:rsidR="00A7640D">
              <w:rPr>
                <w:rFonts w:cs="Times New Roman"/>
                <w:color w:val="000000"/>
              </w:rPr>
              <w:t> ?</w:t>
            </w:r>
          </w:p>
        </w:tc>
        <w:tc>
          <w:tcPr>
            <w:tcW w:w="4529" w:type="dxa"/>
            <w:tcBorders>
              <w:top w:val="dashed" w:sz="4" w:space="0" w:color="auto"/>
              <w:bottom w:val="dashed" w:sz="4" w:space="0" w:color="auto"/>
            </w:tcBorders>
          </w:tcPr>
          <w:p w:rsidR="002E425B" w:rsidRPr="00E178D4" w:rsidRDefault="002E425B" w:rsidP="00F76DE5">
            <w:pPr>
              <w:spacing w:after="0" w:line="240" w:lineRule="auto"/>
            </w:pPr>
            <w:r>
              <w:t>Exploiter la relation entre le débit, la vitesse d’écoulement et la section</w:t>
            </w:r>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définir la pression dans un liquide</w:t>
            </w:r>
            <w:r w:rsidR="00A7640D">
              <w:rPr>
                <w:rFonts w:cs="Times New Roman"/>
                <w:color w:val="000000"/>
              </w:rPr>
              <w:t> ?</w:t>
            </w:r>
          </w:p>
        </w:tc>
        <w:tc>
          <w:tcPr>
            <w:tcW w:w="4529" w:type="dxa"/>
            <w:tcBorders>
              <w:top w:val="dashed" w:sz="4" w:space="0" w:color="auto"/>
              <w:bottom w:val="dashed" w:sz="4" w:space="0" w:color="auto"/>
            </w:tcBorders>
          </w:tcPr>
          <w:p w:rsidR="002E425B" w:rsidRDefault="002E425B" w:rsidP="00F76DE5">
            <w:pPr>
              <w:spacing w:after="0" w:line="240" w:lineRule="auto"/>
            </w:pPr>
            <w:r>
              <w:t xml:space="preserve">Exploiter la relation P=F/S </w:t>
            </w:r>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varie la pression dans un liquide</w:t>
            </w:r>
            <w:r w:rsidR="00A7640D">
              <w:rPr>
                <w:rFonts w:cs="Times New Roman"/>
                <w:color w:val="000000"/>
              </w:rPr>
              <w:t> ?</w:t>
            </w:r>
          </w:p>
        </w:tc>
        <w:tc>
          <w:tcPr>
            <w:tcW w:w="4529" w:type="dxa"/>
            <w:tcBorders>
              <w:top w:val="dashed" w:sz="4" w:space="0" w:color="auto"/>
              <w:bottom w:val="dashed" w:sz="4" w:space="0" w:color="auto"/>
            </w:tcBorders>
          </w:tcPr>
          <w:p w:rsidR="002E425B" w:rsidRDefault="002E425B" w:rsidP="00F76DE5">
            <w:pPr>
              <w:spacing w:after="0" w:line="240" w:lineRule="auto"/>
            </w:pPr>
            <w:r>
              <w:t xml:space="preserve">Exploiter la relation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=ρg</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oMath>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la tension artérielle est-elle mesurée ?</w:t>
            </w:r>
          </w:p>
        </w:tc>
        <w:tc>
          <w:tcPr>
            <w:tcW w:w="4529" w:type="dxa"/>
            <w:tcBorders>
              <w:top w:val="dashed" w:sz="4" w:space="0" w:color="auto"/>
              <w:bottom w:val="dashed" w:sz="4" w:space="0" w:color="auto"/>
            </w:tcBorders>
          </w:tcPr>
          <w:p w:rsidR="002E425B" w:rsidRDefault="002E425B" w:rsidP="00F76DE5">
            <w:pPr>
              <w:spacing w:after="0" w:line="240" w:lineRule="auto"/>
            </w:pPr>
            <w:r>
              <w:t>Distinguer pression artérielle et pression artérielle</w:t>
            </w:r>
          </w:p>
        </w:tc>
      </w:tr>
      <w:tr w:rsidR="002E425B" w:rsidRPr="00E178D4" w:rsidTr="00A7640D">
        <w:trPr>
          <w:trHeight w:val="246"/>
        </w:trPr>
        <w:tc>
          <w:tcPr>
            <w:tcW w:w="9056" w:type="dxa"/>
            <w:gridSpan w:val="2"/>
            <w:tcBorders>
              <w:top w:val="dashed" w:sz="4" w:space="0" w:color="auto"/>
              <w:bottom w:val="single" w:sz="4" w:space="0" w:color="auto"/>
            </w:tcBorders>
          </w:tcPr>
          <w:p w:rsidR="002E425B" w:rsidRPr="00724B2B" w:rsidRDefault="002E425B"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Pr>
                <w:bCs/>
                <w:color w:val="FF0000"/>
              </w:rPr>
              <w:t>les notions de pression et de tension artérielle peuvent être introduites à partir d’une interrogation sur la mesure de la tension artérielle.</w:t>
            </w:r>
          </w:p>
        </w:tc>
      </w:tr>
      <w:tr w:rsidR="00883FFC" w:rsidRPr="00883FFC" w:rsidTr="00A72302">
        <w:trPr>
          <w:trHeight w:val="887"/>
        </w:trPr>
        <w:tc>
          <w:tcPr>
            <w:tcW w:w="4527" w:type="dxa"/>
            <w:tcBorders>
              <w:top w:val="single" w:sz="4" w:space="0" w:color="auto"/>
              <w:bottom w:val="dashed" w:sz="4" w:space="0" w:color="auto"/>
            </w:tcBorders>
          </w:tcPr>
          <w:p w:rsidR="00883FFC" w:rsidRPr="00883FFC" w:rsidRDefault="00883FFC" w:rsidP="00F76DE5">
            <w:pPr>
              <w:pStyle w:val="Default"/>
              <w:rPr>
                <w:rFonts w:asciiTheme="minorHAnsi" w:hAnsiTheme="minorHAnsi"/>
                <w:b/>
                <w:bCs/>
              </w:rPr>
            </w:pPr>
            <w:r>
              <w:rPr>
                <w:rFonts w:asciiTheme="minorHAnsi" w:hAnsiTheme="minorHAnsi"/>
                <w:b/>
                <w:bCs/>
              </w:rPr>
              <w:lastRenderedPageBreak/>
              <w:t>L’analyse chimique pour le contrôle de la composition des milieux biologiques</w:t>
            </w:r>
          </w:p>
        </w:tc>
        <w:tc>
          <w:tcPr>
            <w:tcW w:w="4529" w:type="dxa"/>
            <w:tcBorders>
              <w:top w:val="single" w:sz="4" w:space="0" w:color="auto"/>
              <w:bottom w:val="dashed" w:sz="4" w:space="0" w:color="auto"/>
            </w:tcBorders>
          </w:tcPr>
          <w:p w:rsidR="00883FFC" w:rsidRPr="00883FFC" w:rsidRDefault="00883FFC" w:rsidP="00F76DE5">
            <w:pPr>
              <w:pStyle w:val="Default"/>
              <w:rPr>
                <w:rFonts w:asciiTheme="minorHAnsi" w:hAnsiTheme="minorHAnsi"/>
                <w:b/>
                <w:bCs/>
              </w:rPr>
            </w:pPr>
          </w:p>
        </w:tc>
      </w:tr>
      <w:tr w:rsidR="00883FFC" w:rsidRPr="00883FFC" w:rsidTr="00A72302">
        <w:trPr>
          <w:trHeight w:val="887"/>
        </w:trPr>
        <w:tc>
          <w:tcPr>
            <w:tcW w:w="4527" w:type="dxa"/>
            <w:tcBorders>
              <w:top w:val="dashed" w:sz="4" w:space="0" w:color="auto"/>
              <w:bottom w:val="dashed" w:sz="4" w:space="0" w:color="auto"/>
            </w:tcBorders>
          </w:tcPr>
          <w:p w:rsidR="00883FFC" w:rsidRPr="00883FFC" w:rsidRDefault="00883FFC" w:rsidP="00F76DE5">
            <w:pPr>
              <w:pStyle w:val="Default"/>
              <w:rPr>
                <w:rFonts w:asciiTheme="minorHAnsi" w:hAnsiTheme="minorHAnsi"/>
              </w:rPr>
            </w:pPr>
            <w:r>
              <w:rPr>
                <w:rFonts w:asciiTheme="minorHAnsi" w:hAnsiTheme="minorHAnsi"/>
              </w:rPr>
              <w:t>Comment décrire les molécules organiques ?</w:t>
            </w:r>
          </w:p>
        </w:tc>
        <w:tc>
          <w:tcPr>
            <w:tcW w:w="4529" w:type="dxa"/>
            <w:tcBorders>
              <w:top w:val="dashed" w:sz="4" w:space="0" w:color="auto"/>
              <w:bottom w:val="dashed" w:sz="4" w:space="0" w:color="auto"/>
            </w:tcBorders>
          </w:tcPr>
          <w:p w:rsidR="00230694" w:rsidRPr="00230694" w:rsidRDefault="00230694" w:rsidP="00F76DE5">
            <w:pPr>
              <w:pStyle w:val="Default"/>
              <w:rPr>
                <w:rFonts w:asciiTheme="minorHAnsi" w:hAnsiTheme="minorHAnsi"/>
              </w:rPr>
            </w:pPr>
            <w:r>
              <w:rPr>
                <w:rFonts w:asciiTheme="minorHAnsi" w:hAnsiTheme="minorHAnsi"/>
              </w:rPr>
              <w:t>Connaître et identifier les principales fonctions sur des exemples simples</w:t>
            </w:r>
          </w:p>
        </w:tc>
      </w:tr>
      <w:tr w:rsidR="00230694" w:rsidRPr="00883FFC" w:rsidTr="00A72302">
        <w:trPr>
          <w:trHeight w:val="887"/>
        </w:trPr>
        <w:tc>
          <w:tcPr>
            <w:tcW w:w="4527"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t>Quelle est la structure des molécules d’intérêt biologique ?</w:t>
            </w:r>
          </w:p>
        </w:tc>
        <w:tc>
          <w:tcPr>
            <w:tcW w:w="4529"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t>Identifier un acide gras, un triglycéride, un acide alpha aminé</w:t>
            </w:r>
          </w:p>
          <w:p w:rsidR="00230694" w:rsidRDefault="00230694" w:rsidP="00F76DE5">
            <w:pPr>
              <w:pStyle w:val="Default"/>
              <w:rPr>
                <w:rFonts w:asciiTheme="minorHAnsi" w:hAnsiTheme="minorHAnsi"/>
              </w:rPr>
            </w:pPr>
          </w:p>
          <w:p w:rsidR="00230694" w:rsidRDefault="00230694" w:rsidP="00F76DE5">
            <w:pPr>
              <w:pStyle w:val="Default"/>
              <w:rPr>
                <w:rFonts w:asciiTheme="minorHAnsi" w:hAnsiTheme="minorHAnsi"/>
              </w:rPr>
            </w:pPr>
            <w:r>
              <w:rPr>
                <w:rFonts w:asciiTheme="minorHAnsi" w:hAnsiTheme="minorHAnsi"/>
              </w:rPr>
              <w:t>Identifier une liaison peptidique</w:t>
            </w:r>
          </w:p>
        </w:tc>
      </w:tr>
      <w:tr w:rsidR="00230694" w:rsidRPr="00883FFC" w:rsidTr="00A72302">
        <w:trPr>
          <w:trHeight w:val="887"/>
        </w:trPr>
        <w:tc>
          <w:tcPr>
            <w:tcW w:w="4527"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t>Comment la structure moléculaire de l’eau explique-t-elle ses propriétés physiques et son interaction avec les molécules d’intérêt biologique ?</w:t>
            </w:r>
          </w:p>
        </w:tc>
        <w:tc>
          <w:tcPr>
            <w:tcW w:w="4529" w:type="dxa"/>
            <w:tcBorders>
              <w:top w:val="dashed" w:sz="4" w:space="0" w:color="auto"/>
              <w:bottom w:val="dashed" w:sz="4" w:space="0" w:color="auto"/>
            </w:tcBorders>
          </w:tcPr>
          <w:p w:rsidR="00230694" w:rsidRDefault="009C744D" w:rsidP="00F76DE5">
            <w:pPr>
              <w:pStyle w:val="Default"/>
              <w:rPr>
                <w:rFonts w:asciiTheme="minorHAnsi" w:hAnsiTheme="minorHAnsi"/>
              </w:rPr>
            </w:pPr>
            <w:r>
              <w:rPr>
                <w:rFonts w:asciiTheme="minorHAnsi" w:hAnsiTheme="minorHAnsi"/>
              </w:rPr>
              <w:t>Jus</w:t>
            </w:r>
            <w:r w:rsidR="00A72302">
              <w:rPr>
                <w:rFonts w:asciiTheme="minorHAnsi" w:hAnsiTheme="minorHAnsi"/>
              </w:rPr>
              <w:t>tifier le caractère polaire de la molécule d’eau</w:t>
            </w:r>
          </w:p>
          <w:p w:rsidR="00A72302" w:rsidRDefault="00A72302" w:rsidP="00F76DE5">
            <w:pPr>
              <w:pStyle w:val="Default"/>
              <w:rPr>
                <w:rFonts w:asciiTheme="minorHAnsi" w:hAnsiTheme="minorHAnsi"/>
              </w:rPr>
            </w:pPr>
          </w:p>
          <w:p w:rsidR="00A72302" w:rsidRDefault="00A72302" w:rsidP="00F76DE5">
            <w:pPr>
              <w:pStyle w:val="Default"/>
              <w:rPr>
                <w:rFonts w:asciiTheme="minorHAnsi" w:hAnsiTheme="minorHAnsi"/>
              </w:rPr>
            </w:pPr>
            <w:r>
              <w:rPr>
                <w:rFonts w:asciiTheme="minorHAnsi" w:hAnsiTheme="minorHAnsi"/>
              </w:rPr>
              <w:t>Justifier qualitativement la solubilité des glucides dans l’eau</w:t>
            </w:r>
          </w:p>
        </w:tc>
      </w:tr>
      <w:tr w:rsidR="00A72302" w:rsidRPr="00883FFC" w:rsidTr="00A72302">
        <w:trPr>
          <w:trHeight w:val="887"/>
        </w:trPr>
        <w:tc>
          <w:tcPr>
            <w:tcW w:w="9056" w:type="dxa"/>
            <w:gridSpan w:val="2"/>
            <w:tcBorders>
              <w:top w:val="dashed" w:sz="4" w:space="0" w:color="auto"/>
              <w:bottom w:val="single" w:sz="4" w:space="0" w:color="auto"/>
            </w:tcBorders>
          </w:tcPr>
          <w:p w:rsidR="00A72302" w:rsidRPr="00077C51" w:rsidRDefault="00A72302" w:rsidP="00F76DE5">
            <w:pPr>
              <w:spacing w:after="0" w:line="240" w:lineRule="auto"/>
              <w:rPr>
                <w:bCs/>
              </w:rPr>
            </w:pPr>
            <w:r w:rsidRPr="00E178D4">
              <w:rPr>
                <w:b/>
                <w:color w:val="FF0000"/>
                <w:u w:val="single"/>
              </w:rPr>
              <w:t>Conseils</w:t>
            </w:r>
            <w:r w:rsidRPr="00A72302">
              <w:rPr>
                <w:b/>
                <w:color w:val="FF0000"/>
                <w:u w:val="single"/>
              </w:rPr>
              <w:t> </w:t>
            </w:r>
            <w:r w:rsidRPr="00A72302">
              <w:rPr>
                <w:b/>
                <w:color w:val="FF0000"/>
              </w:rPr>
              <w:t xml:space="preserve">: </w:t>
            </w:r>
            <w:r w:rsidR="00077C51">
              <w:rPr>
                <w:bCs/>
                <w:color w:val="FF0000"/>
              </w:rPr>
              <w:t xml:space="preserve">l’objectif est d’apprendre à identifier les fonctions et les structures chimiques de quelques molécules d’intérêt biologique pour aborder la classe de terminale avec des capacités suffisamment développées. </w:t>
            </w:r>
          </w:p>
        </w:tc>
      </w:tr>
    </w:tbl>
    <w:p w:rsidR="00724B2B" w:rsidRDefault="00724B2B" w:rsidP="009E322C">
      <w:pPr>
        <w:spacing w:line="240" w:lineRule="auto"/>
      </w:pPr>
    </w:p>
    <w:p w:rsidR="00077C51" w:rsidRPr="00724B2B" w:rsidRDefault="00077C51" w:rsidP="009E322C">
      <w:pPr>
        <w:pStyle w:val="Paragraphedeliste"/>
        <w:numPr>
          <w:ilvl w:val="0"/>
          <w:numId w:val="1"/>
        </w:numPr>
        <w:spacing w:line="240" w:lineRule="auto"/>
      </w:pPr>
      <w:r w:rsidRPr="00724B2B">
        <w:rPr>
          <w:b/>
          <w:sz w:val="24"/>
        </w:rPr>
        <w:t xml:space="preserve">Thème </w:t>
      </w:r>
      <w:r>
        <w:rPr>
          <w:b/>
          <w:sz w:val="24"/>
        </w:rPr>
        <w:t>3</w:t>
      </w:r>
      <w:r w:rsidRPr="00724B2B">
        <w:rPr>
          <w:b/>
          <w:sz w:val="24"/>
        </w:rPr>
        <w:t xml:space="preserve"> : </w:t>
      </w:r>
      <w:r>
        <w:rPr>
          <w:b/>
          <w:sz w:val="24"/>
        </w:rPr>
        <w:t>Faire des choix autonomes et responsables</w:t>
      </w:r>
    </w:p>
    <w:tbl>
      <w:tblPr>
        <w:tblStyle w:val="Grilledutableau"/>
        <w:tblW w:w="0" w:type="auto"/>
        <w:tblLook w:val="04A0" w:firstRow="1" w:lastRow="0" w:firstColumn="1" w:lastColumn="0" w:noHBand="0" w:noVBand="1"/>
      </w:tblPr>
      <w:tblGrid>
        <w:gridCol w:w="4527"/>
        <w:gridCol w:w="4529"/>
      </w:tblGrid>
      <w:tr w:rsidR="00077C51" w:rsidRPr="00E178D4" w:rsidTr="009E389B">
        <w:tc>
          <w:tcPr>
            <w:tcW w:w="4527" w:type="dxa"/>
          </w:tcPr>
          <w:p w:rsidR="00077C51" w:rsidRPr="00E178D4" w:rsidRDefault="00077C51" w:rsidP="00F76DE5">
            <w:pPr>
              <w:spacing w:after="0" w:line="240" w:lineRule="auto"/>
              <w:rPr>
                <w:b/>
              </w:rPr>
            </w:pPr>
            <w:r w:rsidRPr="00E178D4">
              <w:rPr>
                <w:b/>
              </w:rPr>
              <w:t xml:space="preserve">Thèmes abordés </w:t>
            </w:r>
          </w:p>
        </w:tc>
        <w:tc>
          <w:tcPr>
            <w:tcW w:w="4529" w:type="dxa"/>
          </w:tcPr>
          <w:p w:rsidR="00077C51" w:rsidRPr="00E178D4" w:rsidRDefault="00077C51" w:rsidP="00F76DE5">
            <w:pPr>
              <w:spacing w:after="0" w:line="240" w:lineRule="auto"/>
              <w:rPr>
                <w:b/>
              </w:rPr>
            </w:pPr>
            <w:r w:rsidRPr="00E178D4">
              <w:rPr>
                <w:b/>
              </w:rPr>
              <w:t xml:space="preserve">Capacités à </w:t>
            </w:r>
            <w:r>
              <w:rPr>
                <w:b/>
              </w:rPr>
              <w:t>privilégier</w:t>
            </w:r>
          </w:p>
        </w:tc>
      </w:tr>
      <w:tr w:rsidR="00077C51" w:rsidRPr="00E178D4" w:rsidTr="009E389B">
        <w:trPr>
          <w:trHeight w:val="664"/>
        </w:trPr>
        <w:tc>
          <w:tcPr>
            <w:tcW w:w="4527" w:type="dxa"/>
            <w:tcBorders>
              <w:bottom w:val="dashed" w:sz="4" w:space="0" w:color="auto"/>
            </w:tcBorders>
          </w:tcPr>
          <w:p w:rsidR="00077C51" w:rsidRPr="00E178D4" w:rsidRDefault="00077C51" w:rsidP="00F76DE5">
            <w:pPr>
              <w:pStyle w:val="Default"/>
              <w:rPr>
                <w:rFonts w:asciiTheme="minorHAnsi" w:hAnsiTheme="minorHAnsi"/>
              </w:rPr>
            </w:pPr>
            <w:r>
              <w:rPr>
                <w:rFonts w:asciiTheme="minorHAnsi" w:hAnsiTheme="minorHAnsi"/>
                <w:b/>
                <w:bCs/>
              </w:rPr>
              <w:t>L’analyse des besoins énergétiques pour une alimentation réfléchie</w:t>
            </w:r>
          </w:p>
        </w:tc>
        <w:tc>
          <w:tcPr>
            <w:tcW w:w="4529" w:type="dxa"/>
            <w:tcBorders>
              <w:bottom w:val="dashed" w:sz="4" w:space="0" w:color="auto"/>
            </w:tcBorders>
          </w:tcPr>
          <w:p w:rsidR="00077C51" w:rsidRPr="00E178D4" w:rsidRDefault="00077C51" w:rsidP="00F76DE5">
            <w:pPr>
              <w:spacing w:after="0" w:line="240" w:lineRule="auto"/>
            </w:pPr>
          </w:p>
        </w:tc>
      </w:tr>
      <w:tr w:rsidR="00077C51" w:rsidRPr="00E178D4" w:rsidTr="009E389B">
        <w:trPr>
          <w:trHeight w:val="997"/>
        </w:trPr>
        <w:tc>
          <w:tcPr>
            <w:tcW w:w="4527" w:type="dxa"/>
            <w:tcBorders>
              <w:top w:val="dashed" w:sz="4" w:space="0" w:color="auto"/>
              <w:bottom w:val="dashed" w:sz="4" w:space="0" w:color="auto"/>
            </w:tcBorders>
          </w:tcPr>
          <w:p w:rsidR="00077C51" w:rsidRPr="008440AF" w:rsidRDefault="00E9714E" w:rsidP="00F76DE5">
            <w:pPr>
              <w:autoSpaceDE w:val="0"/>
              <w:autoSpaceDN w:val="0"/>
              <w:adjustRightInd w:val="0"/>
              <w:spacing w:after="0" w:line="240" w:lineRule="auto"/>
              <w:rPr>
                <w:rFonts w:cs="Times New Roman"/>
                <w:color w:val="000000"/>
              </w:rPr>
            </w:pPr>
            <w:r>
              <w:rPr>
                <w:rFonts w:cs="Times New Roman"/>
                <w:color w:val="000000"/>
              </w:rPr>
              <w:t>Quels sont les besoins énergétiques de l’être humain ?</w:t>
            </w:r>
          </w:p>
        </w:tc>
        <w:tc>
          <w:tcPr>
            <w:tcW w:w="4529" w:type="dxa"/>
            <w:tcBorders>
              <w:top w:val="dashed" w:sz="4" w:space="0" w:color="auto"/>
              <w:bottom w:val="dashed" w:sz="4" w:space="0" w:color="auto"/>
            </w:tcBorders>
          </w:tcPr>
          <w:p w:rsidR="00077C51" w:rsidRDefault="00E9714E" w:rsidP="00F76DE5">
            <w:pPr>
              <w:spacing w:after="0" w:line="240" w:lineRule="auto"/>
            </w:pPr>
            <w:r>
              <w:t>Définir la dépense énergétique journalière</w:t>
            </w:r>
          </w:p>
          <w:p w:rsidR="00E9714E" w:rsidRPr="00E178D4" w:rsidRDefault="00E9714E" w:rsidP="00F76DE5">
            <w:pPr>
              <w:spacing w:after="0" w:line="240" w:lineRule="auto"/>
            </w:pPr>
            <w:r>
              <w:t>Connaître les unités d’énergie</w:t>
            </w:r>
          </w:p>
        </w:tc>
      </w:tr>
      <w:tr w:rsidR="00077C51" w:rsidRPr="00E178D4" w:rsidTr="009E389B">
        <w:trPr>
          <w:trHeight w:val="720"/>
        </w:trPr>
        <w:tc>
          <w:tcPr>
            <w:tcW w:w="4527" w:type="dxa"/>
            <w:tcBorders>
              <w:top w:val="dashed" w:sz="4" w:space="0" w:color="auto"/>
              <w:bottom w:val="dashed" w:sz="4" w:space="0" w:color="auto"/>
            </w:tcBorders>
          </w:tcPr>
          <w:p w:rsidR="00077C51" w:rsidRPr="008440AF" w:rsidRDefault="00077C51" w:rsidP="00F76DE5">
            <w:pPr>
              <w:autoSpaceDE w:val="0"/>
              <w:autoSpaceDN w:val="0"/>
              <w:adjustRightInd w:val="0"/>
              <w:spacing w:after="0" w:line="240" w:lineRule="auto"/>
            </w:pPr>
            <w:r>
              <w:t xml:space="preserve">Comment </w:t>
            </w:r>
            <w:r w:rsidR="00E9714E">
              <w:t>les besoins énergétiques de l’être humain sont-ils satisfaits ?</w:t>
            </w:r>
          </w:p>
        </w:tc>
        <w:tc>
          <w:tcPr>
            <w:tcW w:w="4529" w:type="dxa"/>
            <w:tcBorders>
              <w:top w:val="dashed" w:sz="4" w:space="0" w:color="auto"/>
              <w:bottom w:val="dashed" w:sz="4" w:space="0" w:color="auto"/>
            </w:tcBorders>
          </w:tcPr>
          <w:p w:rsidR="00077C51" w:rsidRPr="00E178D4" w:rsidRDefault="00E9714E" w:rsidP="00F76DE5">
            <w:pPr>
              <w:spacing w:after="0" w:line="240" w:lineRule="auto"/>
            </w:pPr>
            <w:r>
              <w:t>Extraire des données relatives à l’énergie apportée par chaque groupe alimentaire</w:t>
            </w:r>
          </w:p>
        </w:tc>
      </w:tr>
      <w:tr w:rsidR="00E9714E" w:rsidRPr="00E178D4" w:rsidTr="009E389B">
        <w:trPr>
          <w:trHeight w:val="720"/>
        </w:trPr>
        <w:tc>
          <w:tcPr>
            <w:tcW w:w="4527" w:type="dxa"/>
            <w:tcBorders>
              <w:top w:val="dashed" w:sz="4" w:space="0" w:color="auto"/>
              <w:bottom w:val="dashed" w:sz="4" w:space="0" w:color="auto"/>
            </w:tcBorders>
          </w:tcPr>
          <w:p w:rsidR="00E9714E" w:rsidRDefault="00E9714E" w:rsidP="00F76DE5">
            <w:pPr>
              <w:autoSpaceDE w:val="0"/>
              <w:autoSpaceDN w:val="0"/>
              <w:adjustRightInd w:val="0"/>
              <w:spacing w:after="0" w:line="240" w:lineRule="auto"/>
            </w:pPr>
            <w:r>
              <w:t>Comment les transformations biochimiques des aliments produisent-elles de l’énergie</w:t>
            </w:r>
          </w:p>
        </w:tc>
        <w:tc>
          <w:tcPr>
            <w:tcW w:w="4529" w:type="dxa"/>
            <w:tcBorders>
              <w:top w:val="dashed" w:sz="4" w:space="0" w:color="auto"/>
              <w:bottom w:val="dashed" w:sz="4" w:space="0" w:color="auto"/>
            </w:tcBorders>
          </w:tcPr>
          <w:p w:rsidR="009E322C" w:rsidRDefault="009E322C" w:rsidP="00F76DE5">
            <w:pPr>
              <w:spacing w:after="0" w:line="240" w:lineRule="auto"/>
            </w:pPr>
            <w:r>
              <w:t>Exploiter la valeur énergétique délivrée par la transformation des glucides, des lipides et des protides</w:t>
            </w:r>
          </w:p>
          <w:p w:rsidR="00A47995" w:rsidRDefault="00E9714E" w:rsidP="00F76DE5">
            <w:pPr>
              <w:spacing w:after="0" w:line="240" w:lineRule="auto"/>
            </w:pPr>
            <w:r>
              <w:t>Ecrire les réactions chimiques de</w:t>
            </w:r>
            <w:r w:rsidR="009E322C">
              <w:t xml:space="preserve"> différente</w:t>
            </w:r>
            <w:r>
              <w:t>s transformations du glucose</w:t>
            </w:r>
          </w:p>
        </w:tc>
      </w:tr>
      <w:tr w:rsidR="00077C51" w:rsidRPr="00E178D4" w:rsidTr="009E322C">
        <w:trPr>
          <w:trHeight w:val="71"/>
        </w:trPr>
        <w:tc>
          <w:tcPr>
            <w:tcW w:w="9056" w:type="dxa"/>
            <w:gridSpan w:val="2"/>
            <w:tcBorders>
              <w:top w:val="dashed" w:sz="4" w:space="0" w:color="auto"/>
            </w:tcBorders>
          </w:tcPr>
          <w:p w:rsidR="00077C51" w:rsidRPr="009E322C" w:rsidRDefault="00077C51" w:rsidP="00F76DE5">
            <w:pPr>
              <w:spacing w:after="0" w:line="240" w:lineRule="auto"/>
              <w:rPr>
                <w:bCs/>
                <w:color w:val="FF0000"/>
              </w:rPr>
            </w:pPr>
            <w:r w:rsidRPr="00E178D4">
              <w:rPr>
                <w:b/>
                <w:color w:val="FF0000"/>
                <w:u w:val="single"/>
              </w:rPr>
              <w:t>Conseils</w:t>
            </w:r>
            <w:r w:rsidRPr="00E178D4">
              <w:rPr>
                <w:b/>
                <w:color w:val="FF0000"/>
              </w:rPr>
              <w:t> :</w:t>
            </w:r>
            <w:r>
              <w:rPr>
                <w:b/>
                <w:color w:val="FF0000"/>
              </w:rPr>
              <w:t xml:space="preserve"> </w:t>
            </w:r>
            <w:r w:rsidR="009E322C">
              <w:rPr>
                <w:bCs/>
                <w:color w:val="FF0000"/>
              </w:rPr>
              <w:t>il s’agit avant tout de calculer des valeurs énergétiques en regard de la dépense énergétique journalière afin de développer l’esprit critique.</w:t>
            </w:r>
          </w:p>
        </w:tc>
      </w:tr>
      <w:tr w:rsidR="00077C51" w:rsidRPr="00E178D4" w:rsidTr="009E389B">
        <w:trPr>
          <w:trHeight w:val="64"/>
        </w:trPr>
        <w:tc>
          <w:tcPr>
            <w:tcW w:w="4527" w:type="dxa"/>
            <w:tcBorders>
              <w:bottom w:val="dashed" w:sz="4" w:space="0" w:color="auto"/>
            </w:tcBorders>
          </w:tcPr>
          <w:p w:rsidR="00077C51" w:rsidRPr="002F14FC" w:rsidRDefault="002C36BA" w:rsidP="00F76DE5">
            <w:pPr>
              <w:pStyle w:val="Default"/>
              <w:rPr>
                <w:rFonts w:asciiTheme="minorHAnsi" w:hAnsiTheme="minorHAnsi"/>
                <w:b/>
                <w:bCs/>
              </w:rPr>
            </w:pPr>
            <w:r>
              <w:rPr>
                <w:rFonts w:asciiTheme="minorHAnsi" w:hAnsiTheme="minorHAnsi"/>
                <w:b/>
                <w:bCs/>
              </w:rPr>
              <w:t>Le rôle des biomolécules dans l’organisme pour une prévention sanitaire efficace</w:t>
            </w:r>
          </w:p>
        </w:tc>
        <w:tc>
          <w:tcPr>
            <w:tcW w:w="4529" w:type="dxa"/>
            <w:tcBorders>
              <w:bottom w:val="dashed" w:sz="4" w:space="0" w:color="auto"/>
            </w:tcBorders>
          </w:tcPr>
          <w:p w:rsidR="00077C51" w:rsidRPr="00E178D4" w:rsidRDefault="00077C51" w:rsidP="00F76DE5">
            <w:pPr>
              <w:spacing w:after="0" w:line="240" w:lineRule="auto"/>
            </w:pPr>
          </w:p>
        </w:tc>
      </w:tr>
      <w:tr w:rsidR="00077C51" w:rsidRPr="00E178D4" w:rsidTr="002C36BA">
        <w:trPr>
          <w:trHeight w:val="418"/>
        </w:trPr>
        <w:tc>
          <w:tcPr>
            <w:tcW w:w="4527" w:type="dxa"/>
            <w:tcBorders>
              <w:top w:val="dashed" w:sz="4" w:space="0" w:color="auto"/>
              <w:bottom w:val="dashed" w:sz="4" w:space="0" w:color="auto"/>
            </w:tcBorders>
          </w:tcPr>
          <w:p w:rsidR="00077C51" w:rsidRPr="002F14FC" w:rsidRDefault="002C36BA" w:rsidP="00F76DE5">
            <w:pPr>
              <w:autoSpaceDE w:val="0"/>
              <w:autoSpaceDN w:val="0"/>
              <w:adjustRightInd w:val="0"/>
              <w:spacing w:after="0" w:line="240" w:lineRule="auto"/>
              <w:rPr>
                <w:rFonts w:cs="Times New Roman"/>
                <w:color w:val="000000"/>
              </w:rPr>
            </w:pPr>
            <w:r>
              <w:rPr>
                <w:rFonts w:cs="Times New Roman"/>
                <w:color w:val="000000"/>
              </w:rPr>
              <w:t>Comment les glucides sont-ils stockés et transformés dans l’organisme ?</w:t>
            </w:r>
          </w:p>
        </w:tc>
        <w:tc>
          <w:tcPr>
            <w:tcW w:w="4529" w:type="dxa"/>
            <w:tcBorders>
              <w:top w:val="dashed" w:sz="4" w:space="0" w:color="auto"/>
              <w:bottom w:val="dashed" w:sz="4" w:space="0" w:color="auto"/>
            </w:tcBorders>
          </w:tcPr>
          <w:p w:rsidR="00D00520" w:rsidRDefault="00D00520" w:rsidP="00F76DE5">
            <w:pPr>
              <w:spacing w:after="0" w:line="240" w:lineRule="auto"/>
            </w:pPr>
            <w:r>
              <w:t>Définir un glucide simple et un glucide complexe</w:t>
            </w:r>
          </w:p>
          <w:p w:rsidR="00D00520" w:rsidRPr="00E178D4" w:rsidRDefault="00D00520" w:rsidP="00F76DE5">
            <w:pPr>
              <w:spacing w:after="0" w:line="240" w:lineRule="auto"/>
            </w:pPr>
            <w:r>
              <w:t>Identifier un polymère du glucose</w:t>
            </w:r>
          </w:p>
        </w:tc>
      </w:tr>
      <w:tr w:rsidR="00077C51" w:rsidRPr="00E178D4" w:rsidTr="009E322C">
        <w:trPr>
          <w:trHeight w:val="500"/>
        </w:trPr>
        <w:tc>
          <w:tcPr>
            <w:tcW w:w="9056" w:type="dxa"/>
            <w:gridSpan w:val="2"/>
            <w:tcBorders>
              <w:top w:val="dashed" w:sz="4" w:space="0" w:color="auto"/>
              <w:bottom w:val="single" w:sz="4" w:space="0" w:color="auto"/>
            </w:tcBorders>
          </w:tcPr>
          <w:p w:rsidR="00077C51" w:rsidRPr="009E322C" w:rsidRDefault="00077C51"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sidR="009E322C">
              <w:rPr>
                <w:bCs/>
                <w:color w:val="FF0000"/>
              </w:rPr>
              <w:t>l’accent doit être mis sur les définitions afin d’installer une culture scientifique suffisante et essentielle, sans viser l’exhaustivité.</w:t>
            </w:r>
          </w:p>
        </w:tc>
      </w:tr>
      <w:tr w:rsidR="00077C51" w:rsidRPr="00E178D4" w:rsidTr="002C36BA">
        <w:trPr>
          <w:trHeight w:val="64"/>
        </w:trPr>
        <w:tc>
          <w:tcPr>
            <w:tcW w:w="4527" w:type="dxa"/>
            <w:tcBorders>
              <w:top w:val="single" w:sz="4" w:space="0" w:color="auto"/>
              <w:bottom w:val="dashed" w:sz="4" w:space="0" w:color="auto"/>
            </w:tcBorders>
          </w:tcPr>
          <w:p w:rsidR="00077C51" w:rsidRPr="002F14FC" w:rsidRDefault="002C36BA" w:rsidP="00F76DE5">
            <w:pPr>
              <w:pStyle w:val="Default"/>
              <w:rPr>
                <w:rFonts w:asciiTheme="minorHAnsi" w:hAnsiTheme="minorHAnsi"/>
                <w:b/>
                <w:bCs/>
              </w:rPr>
            </w:pPr>
            <w:r>
              <w:rPr>
                <w:rFonts w:asciiTheme="minorHAnsi" w:hAnsiTheme="minorHAnsi"/>
                <w:b/>
                <w:bCs/>
              </w:rPr>
              <w:t>La gestion responsable des ressources naturelles pour l’alimentation humaine</w:t>
            </w:r>
          </w:p>
        </w:tc>
        <w:tc>
          <w:tcPr>
            <w:tcW w:w="4529" w:type="dxa"/>
            <w:tcBorders>
              <w:top w:val="single" w:sz="4" w:space="0" w:color="auto"/>
              <w:bottom w:val="dashed" w:sz="4" w:space="0" w:color="auto"/>
            </w:tcBorders>
          </w:tcPr>
          <w:p w:rsidR="00077C51" w:rsidRPr="00E178D4" w:rsidRDefault="00077C51" w:rsidP="00F76DE5">
            <w:pPr>
              <w:spacing w:after="0" w:line="240" w:lineRule="auto"/>
            </w:pPr>
          </w:p>
        </w:tc>
      </w:tr>
      <w:tr w:rsidR="00077C51" w:rsidRPr="00E178D4" w:rsidTr="009E389B">
        <w:trPr>
          <w:trHeight w:val="418"/>
        </w:trPr>
        <w:tc>
          <w:tcPr>
            <w:tcW w:w="4527" w:type="dxa"/>
            <w:tcBorders>
              <w:top w:val="dashed" w:sz="4" w:space="0" w:color="auto"/>
              <w:bottom w:val="dashed" w:sz="4" w:space="0" w:color="auto"/>
            </w:tcBorders>
          </w:tcPr>
          <w:p w:rsidR="00077C51" w:rsidRPr="002F14FC" w:rsidRDefault="002C36BA" w:rsidP="00F76DE5">
            <w:pPr>
              <w:autoSpaceDE w:val="0"/>
              <w:autoSpaceDN w:val="0"/>
              <w:adjustRightInd w:val="0"/>
              <w:spacing w:after="0" w:line="240" w:lineRule="auto"/>
              <w:rPr>
                <w:rFonts w:cs="Times New Roman"/>
                <w:color w:val="000000"/>
              </w:rPr>
            </w:pPr>
            <w:r>
              <w:rPr>
                <w:rFonts w:cs="Times New Roman"/>
                <w:color w:val="000000"/>
              </w:rPr>
              <w:t>Quels facteurs déterminent l’usage des ressources naturelles indispensables ?</w:t>
            </w:r>
          </w:p>
        </w:tc>
        <w:tc>
          <w:tcPr>
            <w:tcW w:w="4529" w:type="dxa"/>
            <w:tcBorders>
              <w:top w:val="dashed" w:sz="4" w:space="0" w:color="auto"/>
              <w:bottom w:val="dashed" w:sz="4" w:space="0" w:color="auto"/>
            </w:tcBorders>
          </w:tcPr>
          <w:p w:rsidR="00D00520" w:rsidRDefault="00D00520" w:rsidP="00F76DE5">
            <w:pPr>
              <w:spacing w:after="0" w:line="240" w:lineRule="auto"/>
            </w:pPr>
            <w:r>
              <w:t>Décrire le rôle du complexe argilo-humique</w:t>
            </w:r>
            <w:r w:rsidR="00A7640D">
              <w:t xml:space="preserve"> et c</w:t>
            </w:r>
            <w:r>
              <w:t>onnaître le rôle des ions nitrate, phosphate et potassium apportés par les engrais</w:t>
            </w:r>
          </w:p>
          <w:p w:rsidR="00D00520" w:rsidRPr="00E178D4" w:rsidRDefault="00D00520" w:rsidP="00F76DE5">
            <w:pPr>
              <w:spacing w:after="0" w:line="240" w:lineRule="auto"/>
            </w:pPr>
            <w:r>
              <w:lastRenderedPageBreak/>
              <w:t>Analyser des documents décrivant un usage raisonné des pesticides pour un impact sanitaire et environnemental soutenable</w:t>
            </w:r>
          </w:p>
        </w:tc>
      </w:tr>
      <w:tr w:rsidR="00077C51" w:rsidRPr="00E178D4" w:rsidTr="009E322C">
        <w:trPr>
          <w:trHeight w:val="557"/>
        </w:trPr>
        <w:tc>
          <w:tcPr>
            <w:tcW w:w="9056" w:type="dxa"/>
            <w:gridSpan w:val="2"/>
            <w:tcBorders>
              <w:top w:val="dashed" w:sz="4" w:space="0" w:color="auto"/>
              <w:bottom w:val="single" w:sz="4" w:space="0" w:color="auto"/>
            </w:tcBorders>
          </w:tcPr>
          <w:p w:rsidR="00077C51" w:rsidRPr="009E322C" w:rsidRDefault="00077C51" w:rsidP="00F76DE5">
            <w:pPr>
              <w:spacing w:after="0" w:line="240" w:lineRule="auto"/>
              <w:rPr>
                <w:bCs/>
              </w:rPr>
            </w:pPr>
            <w:r w:rsidRPr="00E178D4">
              <w:rPr>
                <w:b/>
                <w:color w:val="FF0000"/>
                <w:u w:val="single"/>
              </w:rPr>
              <w:lastRenderedPageBreak/>
              <w:t>Conseils</w:t>
            </w:r>
            <w:r w:rsidRPr="00E178D4">
              <w:rPr>
                <w:b/>
                <w:color w:val="FF0000"/>
              </w:rPr>
              <w:t> :</w:t>
            </w:r>
            <w:r>
              <w:rPr>
                <w:b/>
                <w:color w:val="FF0000"/>
              </w:rPr>
              <w:t xml:space="preserve"> </w:t>
            </w:r>
            <w:r w:rsidR="009E322C">
              <w:rPr>
                <w:bCs/>
                <w:color w:val="FF0000"/>
              </w:rPr>
              <w:t>cette partie peut s’appuyer sur l’étude de documents et contribue à renforcer l’esprit critique.</w:t>
            </w:r>
          </w:p>
        </w:tc>
      </w:tr>
    </w:tbl>
    <w:p w:rsidR="00077C51" w:rsidRDefault="00077C51" w:rsidP="009E322C">
      <w:pPr>
        <w:spacing w:line="240" w:lineRule="auto"/>
      </w:pPr>
    </w:p>
    <w:sectPr w:rsidR="00077C51" w:rsidSect="004E35D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EF" w:rsidRDefault="003508EF" w:rsidP="00F76DE5">
      <w:pPr>
        <w:spacing w:after="0" w:line="240" w:lineRule="auto"/>
      </w:pPr>
      <w:r>
        <w:separator/>
      </w:r>
    </w:p>
  </w:endnote>
  <w:endnote w:type="continuationSeparator" w:id="0">
    <w:p w:rsidR="003508EF" w:rsidRDefault="003508EF" w:rsidP="00F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448365"/>
      <w:docPartObj>
        <w:docPartGallery w:val="Page Numbers (Bottom of Page)"/>
        <w:docPartUnique/>
      </w:docPartObj>
    </w:sdtPr>
    <w:sdtEndPr>
      <w:rPr>
        <w:sz w:val="20"/>
      </w:rPr>
    </w:sdtEndPr>
    <w:sdtContent>
      <w:p w:rsidR="00F76DE5" w:rsidRPr="00F76DE5" w:rsidRDefault="00F76DE5">
        <w:pPr>
          <w:pStyle w:val="Pieddepage"/>
          <w:jc w:val="center"/>
          <w:rPr>
            <w:sz w:val="20"/>
          </w:rPr>
        </w:pPr>
        <w:r w:rsidRPr="00F76DE5">
          <w:rPr>
            <w:sz w:val="20"/>
          </w:rPr>
          <w:fldChar w:fldCharType="begin"/>
        </w:r>
        <w:r w:rsidRPr="00F76DE5">
          <w:rPr>
            <w:sz w:val="20"/>
          </w:rPr>
          <w:instrText>PAGE   \* MERGEFORMAT</w:instrText>
        </w:r>
        <w:r w:rsidRPr="00F76DE5">
          <w:rPr>
            <w:sz w:val="20"/>
          </w:rPr>
          <w:fldChar w:fldCharType="separate"/>
        </w:r>
        <w:r w:rsidR="000F762E">
          <w:rPr>
            <w:noProof/>
            <w:sz w:val="20"/>
          </w:rPr>
          <w:t>1</w:t>
        </w:r>
        <w:r w:rsidRPr="00F76DE5">
          <w:rPr>
            <w:sz w:val="20"/>
          </w:rPr>
          <w:fldChar w:fldCharType="end"/>
        </w:r>
      </w:p>
    </w:sdtContent>
  </w:sdt>
  <w:p w:rsidR="00F76DE5" w:rsidRDefault="00F76DE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EF" w:rsidRDefault="003508EF" w:rsidP="00F76DE5">
      <w:pPr>
        <w:spacing w:after="0" w:line="240" w:lineRule="auto"/>
      </w:pPr>
      <w:r>
        <w:separator/>
      </w:r>
    </w:p>
  </w:footnote>
  <w:footnote w:type="continuationSeparator" w:id="0">
    <w:p w:rsidR="003508EF" w:rsidRDefault="003508EF" w:rsidP="00F7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EA3470F"/>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9B"/>
    <w:rsid w:val="00002B55"/>
    <w:rsid w:val="00077C51"/>
    <w:rsid w:val="000F762E"/>
    <w:rsid w:val="00230694"/>
    <w:rsid w:val="002C36BA"/>
    <w:rsid w:val="002E425B"/>
    <w:rsid w:val="003508EF"/>
    <w:rsid w:val="004E35D6"/>
    <w:rsid w:val="00546333"/>
    <w:rsid w:val="007068B3"/>
    <w:rsid w:val="00724B2B"/>
    <w:rsid w:val="0073649A"/>
    <w:rsid w:val="00883FFC"/>
    <w:rsid w:val="009B7CC8"/>
    <w:rsid w:val="009C744D"/>
    <w:rsid w:val="009E322C"/>
    <w:rsid w:val="00A47995"/>
    <w:rsid w:val="00A72302"/>
    <w:rsid w:val="00A7640D"/>
    <w:rsid w:val="00C32602"/>
    <w:rsid w:val="00D00520"/>
    <w:rsid w:val="00DD029B"/>
    <w:rsid w:val="00E9714E"/>
    <w:rsid w:val="00F277B8"/>
    <w:rsid w:val="00F7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9B48"/>
  <w15:docId w15:val="{B9361DA3-518C-4113-819A-426A91B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9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29B"/>
    <w:pPr>
      <w:ind w:left="720"/>
      <w:contextualSpacing/>
    </w:pPr>
  </w:style>
  <w:style w:type="table" w:styleId="Grilledutableau">
    <w:name w:val="Table Grid"/>
    <w:basedOn w:val="TableauNormal"/>
    <w:uiPriority w:val="59"/>
    <w:rsid w:val="00DD0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29B"/>
    <w:pPr>
      <w:autoSpaceDE w:val="0"/>
      <w:autoSpaceDN w:val="0"/>
      <w:adjustRightInd w:val="0"/>
    </w:pPr>
    <w:rPr>
      <w:rFonts w:ascii="Arial" w:hAnsi="Arial" w:cs="Arial"/>
      <w:color w:val="000000"/>
    </w:rPr>
  </w:style>
  <w:style w:type="character" w:styleId="Textedelespacerserv">
    <w:name w:val="Placeholder Text"/>
    <w:basedOn w:val="Policepardfaut"/>
    <w:uiPriority w:val="99"/>
    <w:semiHidden/>
    <w:rsid w:val="002E425B"/>
    <w:rPr>
      <w:color w:val="808080"/>
    </w:rPr>
  </w:style>
  <w:style w:type="paragraph" w:styleId="Textedebulles">
    <w:name w:val="Balloon Text"/>
    <w:basedOn w:val="Normal"/>
    <w:link w:val="TextedebullesCar"/>
    <w:uiPriority w:val="99"/>
    <w:semiHidden/>
    <w:unhideWhenUsed/>
    <w:rsid w:val="00F76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E5"/>
    <w:rPr>
      <w:rFonts w:ascii="Tahoma" w:hAnsi="Tahoma" w:cs="Tahoma"/>
      <w:sz w:val="16"/>
      <w:szCs w:val="16"/>
    </w:rPr>
  </w:style>
  <w:style w:type="paragraph" w:styleId="En-tte">
    <w:name w:val="header"/>
    <w:basedOn w:val="Normal"/>
    <w:link w:val="En-tteCar"/>
    <w:uiPriority w:val="99"/>
    <w:unhideWhenUsed/>
    <w:rsid w:val="00F76DE5"/>
    <w:pPr>
      <w:tabs>
        <w:tab w:val="center" w:pos="4536"/>
        <w:tab w:val="right" w:pos="9072"/>
      </w:tabs>
      <w:spacing w:after="0" w:line="240" w:lineRule="auto"/>
    </w:pPr>
  </w:style>
  <w:style w:type="character" w:customStyle="1" w:styleId="En-tteCar">
    <w:name w:val="En-tête Car"/>
    <w:basedOn w:val="Policepardfaut"/>
    <w:link w:val="En-tte"/>
    <w:uiPriority w:val="99"/>
    <w:rsid w:val="00F76DE5"/>
    <w:rPr>
      <w:sz w:val="22"/>
      <w:szCs w:val="22"/>
    </w:rPr>
  </w:style>
  <w:style w:type="paragraph" w:styleId="Pieddepage">
    <w:name w:val="footer"/>
    <w:basedOn w:val="Normal"/>
    <w:link w:val="PieddepageCar"/>
    <w:uiPriority w:val="99"/>
    <w:unhideWhenUsed/>
    <w:rsid w:val="00F76D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D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2DF1-30DA-4F8D-BE90-79CCEB57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Vandenbrouck</dc:creator>
  <cp:keywords/>
  <dc:description/>
  <cp:lastModifiedBy>jacques.royer@ac-nantes.fr</cp:lastModifiedBy>
  <cp:revision>10</cp:revision>
  <dcterms:created xsi:type="dcterms:W3CDTF">2020-04-28T11:57:00Z</dcterms:created>
  <dcterms:modified xsi:type="dcterms:W3CDTF">2020-05-18T07:22:00Z</dcterms:modified>
</cp:coreProperties>
</file>