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DD5" w:rsidRPr="002345B7" w:rsidRDefault="000113A0" w:rsidP="000113A0">
      <w:pPr>
        <w:jc w:val="center"/>
        <w:rPr>
          <w:b/>
          <w:sz w:val="24"/>
          <w:szCs w:val="24"/>
        </w:rPr>
      </w:pPr>
      <w:r w:rsidRPr="002345B7">
        <w:rPr>
          <w:b/>
          <w:sz w:val="24"/>
          <w:szCs w:val="24"/>
        </w:rPr>
        <w:t>Physique-chimie</w:t>
      </w:r>
      <w:r w:rsidR="004D63FD" w:rsidRPr="002345B7">
        <w:rPr>
          <w:b/>
          <w:sz w:val="24"/>
          <w:szCs w:val="24"/>
        </w:rPr>
        <w:t xml:space="preserve"> </w:t>
      </w:r>
      <w:r w:rsidR="000D640E" w:rsidRPr="002345B7">
        <w:rPr>
          <w:b/>
          <w:sz w:val="24"/>
          <w:szCs w:val="24"/>
        </w:rPr>
        <w:t>–</w:t>
      </w:r>
      <w:r w:rsidR="004D63FD" w:rsidRPr="002345B7">
        <w:rPr>
          <w:b/>
          <w:sz w:val="24"/>
          <w:szCs w:val="24"/>
        </w:rPr>
        <w:t xml:space="preserve"> </w:t>
      </w:r>
      <w:r w:rsidR="000D640E" w:rsidRPr="002345B7">
        <w:rPr>
          <w:b/>
          <w:sz w:val="24"/>
          <w:szCs w:val="24"/>
        </w:rPr>
        <w:t>spécialité physique-chimie</w:t>
      </w:r>
      <w:r w:rsidR="000723ED" w:rsidRPr="002345B7">
        <w:rPr>
          <w:b/>
          <w:sz w:val="24"/>
          <w:szCs w:val="24"/>
        </w:rPr>
        <w:t xml:space="preserve"> –</w:t>
      </w:r>
      <w:r w:rsidR="000D640E" w:rsidRPr="002345B7">
        <w:rPr>
          <w:b/>
          <w:sz w:val="24"/>
          <w:szCs w:val="24"/>
        </w:rPr>
        <w:t xml:space="preserve"> classe</w:t>
      </w:r>
      <w:r w:rsidR="000723ED" w:rsidRPr="002345B7">
        <w:rPr>
          <w:b/>
          <w:sz w:val="24"/>
          <w:szCs w:val="24"/>
        </w:rPr>
        <w:t xml:space="preserve"> </w:t>
      </w:r>
      <w:r w:rsidR="000D640E" w:rsidRPr="002345B7">
        <w:rPr>
          <w:b/>
          <w:sz w:val="24"/>
          <w:szCs w:val="24"/>
        </w:rPr>
        <w:t xml:space="preserve">de première </w:t>
      </w:r>
    </w:p>
    <w:p w:rsidR="00D454D4" w:rsidRPr="002345B7" w:rsidRDefault="00D454D4">
      <w:pPr>
        <w:rPr>
          <w:b/>
          <w:sz w:val="24"/>
          <w:u w:val="single"/>
        </w:rPr>
      </w:pPr>
      <w:r w:rsidRPr="002345B7">
        <w:rPr>
          <w:b/>
          <w:sz w:val="24"/>
          <w:u w:val="single"/>
        </w:rPr>
        <w:t>Introduction</w:t>
      </w:r>
    </w:p>
    <w:p w:rsidR="000D640E" w:rsidRPr="00E178D4" w:rsidRDefault="0003317A">
      <w:r w:rsidRPr="00E178D4">
        <w:t xml:space="preserve">Les repères donnés ci-dessous ont une valeur indicative et visent simplement à </w:t>
      </w:r>
      <w:r w:rsidR="00A6069E" w:rsidRPr="00E178D4">
        <w:t xml:space="preserve">aider le professeur à </w:t>
      </w:r>
      <w:r w:rsidR="00126168" w:rsidRPr="00E178D4">
        <w:t xml:space="preserve">identifier les capacités </w:t>
      </w:r>
      <w:r w:rsidRPr="00E178D4">
        <w:t>clés qu</w:t>
      </w:r>
      <w:r w:rsidR="00A6069E" w:rsidRPr="00E178D4">
        <w:t>’il</w:t>
      </w:r>
      <w:r w:rsidRPr="00E178D4">
        <w:t xml:space="preserve"> peut choisir </w:t>
      </w:r>
      <w:r w:rsidR="00126168" w:rsidRPr="00E178D4">
        <w:t xml:space="preserve">de travailler durant la période </w:t>
      </w:r>
      <w:r w:rsidRPr="00E178D4">
        <w:t xml:space="preserve">de reprise. Ces capacités ont été </w:t>
      </w:r>
      <w:r w:rsidR="00A6069E" w:rsidRPr="00E178D4">
        <w:t>identifiée</w:t>
      </w:r>
      <w:r w:rsidR="00A814D6" w:rsidRPr="00E178D4">
        <w:t>s</w:t>
      </w:r>
      <w:r w:rsidR="00A6069E" w:rsidRPr="00E178D4">
        <w:t>,</w:t>
      </w:r>
      <w:r w:rsidRPr="00E178D4">
        <w:t xml:space="preserve"> d’une p</w:t>
      </w:r>
      <w:r w:rsidR="00A6069E" w:rsidRPr="00E178D4">
        <w:t>a</w:t>
      </w:r>
      <w:r w:rsidRPr="00E178D4">
        <w:t>rt en fonction de leur importance</w:t>
      </w:r>
      <w:r w:rsidR="00A6069E" w:rsidRPr="00E178D4">
        <w:t xml:space="preserve"> au regard des notions</w:t>
      </w:r>
      <w:r w:rsidRPr="00E178D4">
        <w:t xml:space="preserve"> et</w:t>
      </w:r>
      <w:r w:rsidR="00A6069E" w:rsidRPr="00E178D4">
        <w:t>,</w:t>
      </w:r>
      <w:r w:rsidRPr="00E178D4">
        <w:t xml:space="preserve"> d’autre part dans un objec</w:t>
      </w:r>
      <w:r w:rsidR="00A6069E" w:rsidRPr="00E178D4">
        <w:t>tif d’optimiser</w:t>
      </w:r>
      <w:r w:rsidR="00E9118B">
        <w:t>,</w:t>
      </w:r>
      <w:r w:rsidR="00A6069E" w:rsidRPr="00E178D4">
        <w:t xml:space="preserve"> </w:t>
      </w:r>
      <w:r w:rsidR="00E9118B">
        <w:t xml:space="preserve">le cas échéant, </w:t>
      </w:r>
      <w:r w:rsidR="00A6069E" w:rsidRPr="00E178D4">
        <w:t>la</w:t>
      </w:r>
      <w:r w:rsidRPr="00E178D4">
        <w:t xml:space="preserve"> poursuite d’étude</w:t>
      </w:r>
      <w:r w:rsidR="00E9118B">
        <w:t xml:space="preserve"> en spécialité physique-chimie de la </w:t>
      </w:r>
      <w:r w:rsidR="00A6069E" w:rsidRPr="00E178D4">
        <w:t xml:space="preserve">classe de </w:t>
      </w:r>
      <w:r w:rsidR="000D640E" w:rsidRPr="00E178D4">
        <w:t>terminale.</w:t>
      </w:r>
      <w:r w:rsidR="00A6069E" w:rsidRPr="00E178D4">
        <w:t xml:space="preserve"> </w:t>
      </w:r>
    </w:p>
    <w:p w:rsidR="003D57B6" w:rsidRDefault="0003317A" w:rsidP="003D57B6">
      <w:r w:rsidRPr="00E178D4">
        <w:t xml:space="preserve">Les choix </w:t>
      </w:r>
      <w:r w:rsidR="00A6069E" w:rsidRPr="00E178D4">
        <w:t>effectués dépendent</w:t>
      </w:r>
      <w:r w:rsidRPr="00E178D4">
        <w:t xml:space="preserve"> </w:t>
      </w:r>
      <w:r w:rsidR="00A6069E" w:rsidRPr="00E178D4">
        <w:t xml:space="preserve">naturellement </w:t>
      </w:r>
      <w:r w:rsidRPr="00E178D4">
        <w:t>de ce qui a déjà été traité</w:t>
      </w:r>
      <w:r w:rsidR="00D454D4" w:rsidRPr="00E178D4">
        <w:t xml:space="preserve"> par le professeur et </w:t>
      </w:r>
      <w:r w:rsidR="00A6069E" w:rsidRPr="00E178D4">
        <w:t>des conditions de la continuité pédagogique pendant la période de confinement</w:t>
      </w:r>
      <w:r w:rsidRPr="00E178D4">
        <w:t>.</w:t>
      </w:r>
      <w:r w:rsidR="00A6069E" w:rsidRPr="00E178D4">
        <w:t xml:space="preserve"> Pendant cette courte période de reprise</w:t>
      </w:r>
      <w:r w:rsidR="00ED6C8F" w:rsidRPr="00E178D4">
        <w:t xml:space="preserve">, il est d’abord nécessaire </w:t>
      </w:r>
      <w:r w:rsidR="00A6069E" w:rsidRPr="00E178D4">
        <w:t>de rassurer et de réengager progressivement les</w:t>
      </w:r>
      <w:r w:rsidR="00ED6C8F" w:rsidRPr="00E178D4">
        <w:t xml:space="preserve"> élèves dans les apprentissages. Par ailleurs, </w:t>
      </w:r>
      <w:r w:rsidR="002C3A2C" w:rsidRPr="00E178D4">
        <w:t>il est préférable, compte tenu des contr</w:t>
      </w:r>
      <w:r w:rsidR="0048480F">
        <w:t xml:space="preserve">aintes sanitaires, de s’appuyer </w:t>
      </w:r>
      <w:r w:rsidR="002C3A2C" w:rsidRPr="00E178D4">
        <w:t>sur des expériences conduite</w:t>
      </w:r>
      <w:r w:rsidR="00A814D6" w:rsidRPr="00E178D4">
        <w:t>s par le professeur</w:t>
      </w:r>
      <w:r w:rsidR="00ED6C8F" w:rsidRPr="00E178D4">
        <w:t>, des vidéos</w:t>
      </w:r>
      <w:r w:rsidR="006C0744">
        <w:t>, des animations</w:t>
      </w:r>
      <w:r w:rsidR="00ED6C8F" w:rsidRPr="00E178D4">
        <w:t xml:space="preserve"> et des simulations.</w:t>
      </w:r>
      <w:r w:rsidR="00A814D6" w:rsidRPr="00E178D4">
        <w:t xml:space="preserve"> </w:t>
      </w:r>
      <w:r w:rsidR="00ED6C8F" w:rsidRPr="00E178D4">
        <w:t>C</w:t>
      </w:r>
      <w:r w:rsidR="002C3A2C" w:rsidRPr="00E178D4">
        <w:t xml:space="preserve">eci </w:t>
      </w:r>
      <w:r w:rsidR="00ED6C8F" w:rsidRPr="00E178D4">
        <w:t xml:space="preserve">ne remet pas </w:t>
      </w:r>
      <w:r w:rsidR="00A814D6" w:rsidRPr="00E178D4">
        <w:t xml:space="preserve">en cause la pratique de </w:t>
      </w:r>
      <w:r w:rsidR="002C3A2C" w:rsidRPr="00E178D4">
        <w:t>la</w:t>
      </w:r>
      <w:r w:rsidR="00A814D6" w:rsidRPr="00E178D4">
        <w:t xml:space="preserve"> démarche scientifique</w:t>
      </w:r>
      <w:r w:rsidR="009D0537" w:rsidRPr="00E178D4">
        <w:t xml:space="preserve"> </w:t>
      </w:r>
      <w:r w:rsidR="00E9118B">
        <w:t>et</w:t>
      </w:r>
      <w:r w:rsidR="00A814D6" w:rsidRPr="00E178D4">
        <w:t xml:space="preserve"> </w:t>
      </w:r>
      <w:r w:rsidR="002C3A2C" w:rsidRPr="00E178D4">
        <w:t>la nécessaire mise en activité des élèves</w:t>
      </w:r>
      <w:r w:rsidR="00E9118B">
        <w:t>.</w:t>
      </w:r>
      <w:r w:rsidR="009D0537" w:rsidRPr="00E178D4">
        <w:t xml:space="preserve"> </w:t>
      </w:r>
      <w:r w:rsidR="00C45EA3" w:rsidRPr="00C45EA3">
        <w:t>Enfin, eu égard à la variabilité vraisemblable des conditions de la reprise (par exemple alternance de séances en présentiel et de travaux à distance), il est recommandé de construire des séances prenant appui sur des activités que les élèves peuvent réaliser en autonomie aussi bien en classe qu'à la maison. Lors d'une séance en présentiel, le professeur peut ainsi accompagner plus particulièrement les élèves absents à la séance précédente.</w:t>
      </w:r>
      <w:r w:rsidR="003D57B6">
        <w:t xml:space="preserve">  </w:t>
      </w:r>
    </w:p>
    <w:p w:rsidR="0003317A" w:rsidRPr="00306282" w:rsidRDefault="00E9118B">
      <w:r w:rsidRPr="00306282">
        <w:t>Les c</w:t>
      </w:r>
      <w:r w:rsidR="00EC7E3D" w:rsidRPr="00306282">
        <w:t>apacités numériques </w:t>
      </w:r>
      <w:r w:rsidR="00E178D4" w:rsidRPr="00306282">
        <w:t xml:space="preserve">ne doivent être mobilisées </w:t>
      </w:r>
      <w:r w:rsidRPr="00306282">
        <w:t xml:space="preserve">que </w:t>
      </w:r>
      <w:r w:rsidR="00306282">
        <w:t>si elles</w:t>
      </w:r>
      <w:r w:rsidR="00E178D4" w:rsidRPr="00306282">
        <w:t xml:space="preserve"> </w:t>
      </w:r>
      <w:r w:rsidR="00306282">
        <w:t>facilitent</w:t>
      </w:r>
      <w:r w:rsidRPr="00306282">
        <w:t xml:space="preserve"> l’acquisition des</w:t>
      </w:r>
      <w:r w:rsidR="00306282">
        <w:t xml:space="preserve"> concepts abordés</w:t>
      </w:r>
      <w:r w:rsidRPr="00306282">
        <w:t>. L</w:t>
      </w:r>
      <w:r w:rsidR="00306282">
        <w:t>e travail autour d</w:t>
      </w:r>
      <w:r w:rsidRPr="00306282">
        <w:t>e cell</w:t>
      </w:r>
      <w:bookmarkStart w:id="0" w:name="_GoBack"/>
      <w:bookmarkEnd w:id="0"/>
      <w:r w:rsidRPr="00306282">
        <w:t>es-ci sera poursuivi, le cas échéant, en spécialité physique-chimie de la classe de terminale.</w:t>
      </w:r>
      <w:r w:rsidR="00E178D4" w:rsidRPr="00306282">
        <w:t xml:space="preserve">     </w:t>
      </w:r>
      <w:r w:rsidR="00ED6C8F" w:rsidRPr="00306282">
        <w:t xml:space="preserve"> </w:t>
      </w:r>
      <w:r w:rsidR="002C3A2C" w:rsidRPr="00306282">
        <w:t xml:space="preserve">    </w:t>
      </w:r>
      <w:r w:rsidR="00A6069E" w:rsidRPr="00306282">
        <w:t xml:space="preserve">     </w:t>
      </w:r>
    </w:p>
    <w:p w:rsidR="009F4EB2" w:rsidRPr="00306282" w:rsidRDefault="00306282">
      <w:r w:rsidRPr="00306282">
        <w:t>L’acquisition des capacités expérimentales sera poursuivie</w:t>
      </w:r>
      <w:r>
        <w:t>,</w:t>
      </w:r>
      <w:r w:rsidRPr="00306282">
        <w:t xml:space="preserve"> le cas échéant, en spécialité </w:t>
      </w:r>
      <w:r>
        <w:t xml:space="preserve">physique-chimie </w:t>
      </w:r>
      <w:r w:rsidRPr="00306282">
        <w:t xml:space="preserve">de la classe de </w:t>
      </w:r>
      <w:r w:rsidR="00E178D4" w:rsidRPr="00306282">
        <w:t>terminale</w:t>
      </w:r>
      <w:r w:rsidRPr="00306282">
        <w:t> ; les expériences de cours et les vidéos peuvent être l’occasion</w:t>
      </w:r>
      <w:r>
        <w:t>, pour le professeur,</w:t>
      </w:r>
      <w:r w:rsidRPr="00306282">
        <w:t xml:space="preserve"> </w:t>
      </w:r>
      <w:r w:rsidR="006C0744">
        <w:t>de continuer à apporter des éléments de formation</w:t>
      </w:r>
      <w:r>
        <w:t xml:space="preserve"> en </w:t>
      </w:r>
      <w:r w:rsidRPr="00306282">
        <w:t>lien direct avec la pratique expérimentale.</w:t>
      </w:r>
    </w:p>
    <w:p w:rsidR="000D640E" w:rsidRPr="002345B7" w:rsidRDefault="00D454D4" w:rsidP="00E178D4">
      <w:pPr>
        <w:rPr>
          <w:b/>
          <w:sz w:val="24"/>
          <w:u w:val="single"/>
        </w:rPr>
      </w:pPr>
      <w:r w:rsidRPr="002345B7">
        <w:rPr>
          <w:b/>
          <w:sz w:val="24"/>
          <w:u w:val="single"/>
        </w:rPr>
        <w:t>Capacités à travailler en priorité</w:t>
      </w:r>
    </w:p>
    <w:p w:rsidR="000113A0" w:rsidRPr="002345B7" w:rsidRDefault="000D640E" w:rsidP="000D640E">
      <w:pPr>
        <w:pStyle w:val="Paragraphedeliste"/>
        <w:numPr>
          <w:ilvl w:val="0"/>
          <w:numId w:val="2"/>
        </w:numPr>
        <w:rPr>
          <w:b/>
          <w:sz w:val="24"/>
        </w:rPr>
      </w:pPr>
      <w:r w:rsidRPr="002345B7">
        <w:rPr>
          <w:b/>
          <w:sz w:val="24"/>
        </w:rPr>
        <w:t>Constitution et transformations de la matière</w:t>
      </w:r>
    </w:p>
    <w:tbl>
      <w:tblPr>
        <w:tblStyle w:val="Grilledutableau"/>
        <w:tblW w:w="0" w:type="auto"/>
        <w:tblLook w:val="04A0" w:firstRow="1" w:lastRow="0" w:firstColumn="1" w:lastColumn="0" w:noHBand="0" w:noVBand="1"/>
      </w:tblPr>
      <w:tblGrid>
        <w:gridCol w:w="4606"/>
        <w:gridCol w:w="4606"/>
      </w:tblGrid>
      <w:tr w:rsidR="00130A57" w:rsidRPr="00E178D4" w:rsidTr="0097202E">
        <w:tc>
          <w:tcPr>
            <w:tcW w:w="4606" w:type="dxa"/>
          </w:tcPr>
          <w:p w:rsidR="00130A57" w:rsidRPr="00E178D4" w:rsidRDefault="00EC7E3D" w:rsidP="0097202E">
            <w:pPr>
              <w:rPr>
                <w:b/>
              </w:rPr>
            </w:pPr>
            <w:r w:rsidRPr="00E178D4">
              <w:rPr>
                <w:b/>
              </w:rPr>
              <w:t>Thèmes abordé</w:t>
            </w:r>
            <w:r w:rsidR="00017564" w:rsidRPr="00E178D4">
              <w:rPr>
                <w:b/>
              </w:rPr>
              <w:t xml:space="preserve">s </w:t>
            </w:r>
          </w:p>
        </w:tc>
        <w:tc>
          <w:tcPr>
            <w:tcW w:w="4606" w:type="dxa"/>
          </w:tcPr>
          <w:p w:rsidR="00130A57" w:rsidRPr="00E178D4" w:rsidRDefault="00130A57" w:rsidP="0097202E">
            <w:pPr>
              <w:rPr>
                <w:b/>
              </w:rPr>
            </w:pPr>
            <w:r w:rsidRPr="00E178D4">
              <w:rPr>
                <w:b/>
              </w:rPr>
              <w:t>Capacités à travailler en priorité</w:t>
            </w:r>
          </w:p>
        </w:tc>
      </w:tr>
      <w:tr w:rsidR="00130A57" w:rsidRPr="00E178D4" w:rsidTr="00017564">
        <w:trPr>
          <w:trHeight w:val="664"/>
        </w:trPr>
        <w:tc>
          <w:tcPr>
            <w:tcW w:w="4606" w:type="dxa"/>
            <w:tcBorders>
              <w:bottom w:val="dashed" w:sz="4" w:space="0" w:color="auto"/>
            </w:tcBorders>
          </w:tcPr>
          <w:p w:rsidR="000D640E" w:rsidRPr="00E178D4" w:rsidRDefault="000D640E" w:rsidP="00017564">
            <w:pPr>
              <w:pStyle w:val="Default"/>
              <w:numPr>
                <w:ilvl w:val="0"/>
                <w:numId w:val="3"/>
              </w:numPr>
              <w:rPr>
                <w:rFonts w:asciiTheme="minorHAnsi" w:hAnsiTheme="minorHAnsi"/>
                <w:sz w:val="22"/>
                <w:szCs w:val="22"/>
              </w:rPr>
            </w:pPr>
            <w:r w:rsidRPr="00E178D4">
              <w:rPr>
                <w:rFonts w:asciiTheme="minorHAnsi" w:hAnsiTheme="minorHAnsi"/>
                <w:b/>
                <w:bCs/>
                <w:sz w:val="22"/>
                <w:szCs w:val="22"/>
              </w:rPr>
              <w:t>Suivi de l’évolution d’un système, siège d’une transformation</w:t>
            </w:r>
          </w:p>
        </w:tc>
        <w:tc>
          <w:tcPr>
            <w:tcW w:w="4606" w:type="dxa"/>
            <w:tcBorders>
              <w:bottom w:val="dashed" w:sz="4" w:space="0" w:color="auto"/>
            </w:tcBorders>
          </w:tcPr>
          <w:p w:rsidR="00130A57" w:rsidRPr="00E178D4" w:rsidRDefault="00130A57" w:rsidP="0097202E"/>
        </w:tc>
      </w:tr>
      <w:tr w:rsidR="00017564" w:rsidRPr="00E178D4" w:rsidTr="00017564">
        <w:trPr>
          <w:trHeight w:val="997"/>
        </w:trPr>
        <w:tc>
          <w:tcPr>
            <w:tcW w:w="4606" w:type="dxa"/>
            <w:tcBorders>
              <w:top w:val="dashed" w:sz="4" w:space="0" w:color="auto"/>
              <w:bottom w:val="dashed" w:sz="4" w:space="0" w:color="auto"/>
            </w:tcBorders>
          </w:tcPr>
          <w:p w:rsidR="00017564" w:rsidRPr="00E178D4" w:rsidRDefault="00017564" w:rsidP="00017564">
            <w:pPr>
              <w:pStyle w:val="Paragraphedeliste"/>
              <w:numPr>
                <w:ilvl w:val="0"/>
                <w:numId w:val="4"/>
              </w:numPr>
              <w:autoSpaceDE w:val="0"/>
              <w:autoSpaceDN w:val="0"/>
              <w:adjustRightInd w:val="0"/>
              <w:rPr>
                <w:rFonts w:cs="Times New Roman"/>
                <w:color w:val="000000"/>
              </w:rPr>
            </w:pPr>
            <w:r w:rsidRPr="00E178D4">
              <w:rPr>
                <w:rFonts w:cs="Times New Roman"/>
                <w:color w:val="000000"/>
              </w:rPr>
              <w:t>Détermination de la composition du système initial à l’aide de grandeurs physiques</w:t>
            </w:r>
          </w:p>
        </w:tc>
        <w:tc>
          <w:tcPr>
            <w:tcW w:w="4606" w:type="dxa"/>
            <w:tcBorders>
              <w:top w:val="dashed" w:sz="4" w:space="0" w:color="auto"/>
              <w:bottom w:val="dashed" w:sz="4" w:space="0" w:color="auto"/>
            </w:tcBorders>
          </w:tcPr>
          <w:p w:rsidR="00017564" w:rsidRDefault="00A06065" w:rsidP="00A06065">
            <w:r>
              <w:t>Déterminer des quantités de matière à partir de masses ou de volumes ou de concentrations</w:t>
            </w:r>
          </w:p>
          <w:p w:rsidR="00A06065" w:rsidRPr="00E178D4" w:rsidRDefault="00A06065" w:rsidP="00A06065">
            <w:r>
              <w:t>Exploiter graphiquement l’évolution de l’absorbance en fonction de la concentration</w:t>
            </w:r>
          </w:p>
        </w:tc>
      </w:tr>
      <w:tr w:rsidR="00017564" w:rsidRPr="00E178D4" w:rsidTr="00017564">
        <w:trPr>
          <w:trHeight w:val="720"/>
        </w:trPr>
        <w:tc>
          <w:tcPr>
            <w:tcW w:w="4606" w:type="dxa"/>
            <w:tcBorders>
              <w:top w:val="dashed" w:sz="4" w:space="0" w:color="auto"/>
              <w:bottom w:val="dashed" w:sz="4" w:space="0" w:color="auto"/>
            </w:tcBorders>
          </w:tcPr>
          <w:p w:rsidR="00017564" w:rsidRPr="00E178D4" w:rsidRDefault="00017564" w:rsidP="00017564">
            <w:pPr>
              <w:pStyle w:val="Paragraphedeliste"/>
              <w:numPr>
                <w:ilvl w:val="0"/>
                <w:numId w:val="4"/>
              </w:numPr>
              <w:autoSpaceDE w:val="0"/>
              <w:autoSpaceDN w:val="0"/>
              <w:adjustRightInd w:val="0"/>
              <w:rPr>
                <w:rFonts w:cs="Times New Roman"/>
                <w:color w:val="000000"/>
              </w:rPr>
            </w:pPr>
            <w:r w:rsidRPr="00E178D4">
              <w:rPr>
                <w:rFonts w:cs="Times New Roman"/>
                <w:color w:val="000000"/>
              </w:rPr>
              <w:t xml:space="preserve">Suivi et modélisation de l’évolution d’un système chimique </w:t>
            </w:r>
          </w:p>
          <w:p w:rsidR="00017564" w:rsidRPr="00E178D4" w:rsidRDefault="00017564" w:rsidP="00017564">
            <w:pPr>
              <w:autoSpaceDE w:val="0"/>
              <w:autoSpaceDN w:val="0"/>
              <w:adjustRightInd w:val="0"/>
              <w:rPr>
                <w:b/>
                <w:bCs/>
              </w:rPr>
            </w:pPr>
          </w:p>
        </w:tc>
        <w:tc>
          <w:tcPr>
            <w:tcW w:w="4606" w:type="dxa"/>
            <w:tcBorders>
              <w:top w:val="dashed" w:sz="4" w:space="0" w:color="auto"/>
              <w:bottom w:val="dashed" w:sz="4" w:space="0" w:color="auto"/>
            </w:tcBorders>
          </w:tcPr>
          <w:p w:rsidR="00A06065" w:rsidRPr="00E178D4" w:rsidRDefault="00A06065" w:rsidP="0097202E">
            <w:r>
              <w:t xml:space="preserve">Déterminer l’état final d’une transformation totale </w:t>
            </w:r>
            <w:r w:rsidR="007A10D3">
              <w:t xml:space="preserve">en exploitant l’équation de la </w:t>
            </w:r>
            <w:r>
              <w:t>réaction la modélisant</w:t>
            </w:r>
          </w:p>
        </w:tc>
      </w:tr>
      <w:tr w:rsidR="00017564" w:rsidRPr="00E178D4" w:rsidTr="00017564">
        <w:trPr>
          <w:trHeight w:val="787"/>
        </w:trPr>
        <w:tc>
          <w:tcPr>
            <w:tcW w:w="4606" w:type="dxa"/>
            <w:tcBorders>
              <w:top w:val="dashed" w:sz="4" w:space="0" w:color="auto"/>
            </w:tcBorders>
          </w:tcPr>
          <w:p w:rsidR="00017564" w:rsidRPr="00E178D4" w:rsidRDefault="00017564" w:rsidP="00017564">
            <w:pPr>
              <w:pStyle w:val="Paragraphedeliste"/>
              <w:numPr>
                <w:ilvl w:val="0"/>
                <w:numId w:val="4"/>
              </w:numPr>
              <w:autoSpaceDE w:val="0"/>
              <w:autoSpaceDN w:val="0"/>
              <w:adjustRightInd w:val="0"/>
              <w:rPr>
                <w:rFonts w:cs="Times New Roman"/>
                <w:color w:val="000000"/>
              </w:rPr>
            </w:pPr>
            <w:r w:rsidRPr="00E178D4">
              <w:rPr>
                <w:rFonts w:cs="Times New Roman"/>
                <w:color w:val="000000"/>
              </w:rPr>
              <w:t>Détermination d’une quantité de matière grâce à une transformation chimique</w:t>
            </w:r>
          </w:p>
        </w:tc>
        <w:tc>
          <w:tcPr>
            <w:tcW w:w="4606" w:type="dxa"/>
            <w:tcBorders>
              <w:top w:val="dashed" w:sz="4" w:space="0" w:color="auto"/>
            </w:tcBorders>
          </w:tcPr>
          <w:p w:rsidR="00017564" w:rsidRDefault="009B007D" w:rsidP="009B007D">
            <w:r>
              <w:t xml:space="preserve">Relier l’évolution des quantités de matière de réactifs titrant et titré à </w:t>
            </w:r>
            <w:r w:rsidR="006C0744">
              <w:t>l’ajout de la solution titrante</w:t>
            </w:r>
          </w:p>
          <w:p w:rsidR="009B007D" w:rsidRPr="00E178D4" w:rsidRDefault="009B007D" w:rsidP="009B007D">
            <w:r>
              <w:t>Associer équivalence et introduction des réacti</w:t>
            </w:r>
            <w:r w:rsidR="003D696A">
              <w:t xml:space="preserve">fs en quantité </w:t>
            </w:r>
            <w:r w:rsidR="006C0744">
              <w:t>stœchiométrique</w:t>
            </w:r>
          </w:p>
        </w:tc>
      </w:tr>
      <w:tr w:rsidR="00EC7E3D" w:rsidRPr="00E178D4" w:rsidTr="00D61F97">
        <w:trPr>
          <w:trHeight w:val="787"/>
        </w:trPr>
        <w:tc>
          <w:tcPr>
            <w:tcW w:w="9212" w:type="dxa"/>
            <w:gridSpan w:val="2"/>
            <w:tcBorders>
              <w:top w:val="dashed" w:sz="4" w:space="0" w:color="auto"/>
            </w:tcBorders>
          </w:tcPr>
          <w:p w:rsidR="00EC7E3D" w:rsidRPr="007E4B4E" w:rsidRDefault="00EC7E3D" w:rsidP="006158C4">
            <w:pPr>
              <w:rPr>
                <w:color w:val="FF0000"/>
              </w:rPr>
            </w:pPr>
            <w:r w:rsidRPr="00E178D4">
              <w:rPr>
                <w:b/>
                <w:color w:val="FF0000"/>
                <w:u w:val="single"/>
              </w:rPr>
              <w:lastRenderedPageBreak/>
              <w:t>Conseils</w:t>
            </w:r>
            <w:r w:rsidRPr="00E178D4">
              <w:rPr>
                <w:b/>
                <w:color w:val="FF0000"/>
              </w:rPr>
              <w:t> :</w:t>
            </w:r>
            <w:r w:rsidRPr="00E178D4">
              <w:rPr>
                <w:color w:val="FF0000"/>
              </w:rPr>
              <w:t xml:space="preserve"> </w:t>
            </w:r>
            <w:r w:rsidR="006C0744">
              <w:rPr>
                <w:color w:val="FF0000"/>
              </w:rPr>
              <w:t>l</w:t>
            </w:r>
            <w:r w:rsidR="007E4B4E">
              <w:rPr>
                <w:color w:val="FF0000"/>
              </w:rPr>
              <w:t>a mise en œuvre par l’enseignant de</w:t>
            </w:r>
            <w:r w:rsidR="003D696A">
              <w:rPr>
                <w:color w:val="FF0000"/>
              </w:rPr>
              <w:t xml:space="preserve"> transformations et de titrage</w:t>
            </w:r>
            <w:r w:rsidR="007E4B4E">
              <w:rPr>
                <w:color w:val="FF0000"/>
              </w:rPr>
              <w:t>s peu</w:t>
            </w:r>
            <w:r w:rsidR="003D696A">
              <w:rPr>
                <w:color w:val="FF0000"/>
              </w:rPr>
              <w:t xml:space="preserve">t servir de support aux </w:t>
            </w:r>
            <w:r w:rsidR="007E4B4E">
              <w:rPr>
                <w:color w:val="FF0000"/>
              </w:rPr>
              <w:t>modélisations</w:t>
            </w:r>
            <w:r w:rsidR="00A55E79">
              <w:rPr>
                <w:color w:val="FF0000"/>
              </w:rPr>
              <w:t xml:space="preserve"> et </w:t>
            </w:r>
            <w:r w:rsidR="007A10D3">
              <w:rPr>
                <w:color w:val="FF0000"/>
              </w:rPr>
              <w:t>l’utilisation de simulations</w:t>
            </w:r>
            <w:r w:rsidR="003D696A">
              <w:rPr>
                <w:color w:val="FF0000"/>
              </w:rPr>
              <w:t xml:space="preserve"> </w:t>
            </w:r>
            <w:r w:rsidR="007E4B4E">
              <w:rPr>
                <w:color w:val="FF0000"/>
              </w:rPr>
              <w:t xml:space="preserve">peut </w:t>
            </w:r>
            <w:r w:rsidR="003D696A">
              <w:rPr>
                <w:color w:val="FF0000"/>
              </w:rPr>
              <w:t>permet</w:t>
            </w:r>
            <w:r w:rsidR="007E4B4E">
              <w:rPr>
                <w:color w:val="FF0000"/>
              </w:rPr>
              <w:t>tre</w:t>
            </w:r>
            <w:r w:rsidR="006158C4">
              <w:rPr>
                <w:color w:val="FF0000"/>
              </w:rPr>
              <w:t xml:space="preserve"> de visualiser les </w:t>
            </w:r>
            <w:r w:rsidR="003D696A">
              <w:rPr>
                <w:color w:val="FF0000"/>
              </w:rPr>
              <w:t xml:space="preserve"> </w:t>
            </w:r>
            <w:r w:rsidR="006158C4">
              <w:rPr>
                <w:color w:val="FF0000"/>
              </w:rPr>
              <w:t>résultats d</w:t>
            </w:r>
            <w:r w:rsidR="006C0744">
              <w:rPr>
                <w:color w:val="FF0000"/>
              </w:rPr>
              <w:t xml:space="preserve">es modèles et de les confronter </w:t>
            </w:r>
            <w:r w:rsidR="006158C4">
              <w:rPr>
                <w:color w:val="FF0000"/>
              </w:rPr>
              <w:t>aux expériences.</w:t>
            </w:r>
          </w:p>
        </w:tc>
      </w:tr>
      <w:tr w:rsidR="00130A57" w:rsidRPr="00E178D4" w:rsidTr="00A55E79">
        <w:trPr>
          <w:trHeight w:val="64"/>
        </w:trPr>
        <w:tc>
          <w:tcPr>
            <w:tcW w:w="4606" w:type="dxa"/>
            <w:tcBorders>
              <w:bottom w:val="dashed" w:sz="4" w:space="0" w:color="auto"/>
            </w:tcBorders>
          </w:tcPr>
          <w:p w:rsidR="00130A57" w:rsidRPr="00A55E79" w:rsidRDefault="00017564" w:rsidP="00A55E79">
            <w:pPr>
              <w:pStyle w:val="Default"/>
              <w:numPr>
                <w:ilvl w:val="0"/>
                <w:numId w:val="3"/>
              </w:numPr>
              <w:rPr>
                <w:rFonts w:asciiTheme="minorHAnsi" w:hAnsiTheme="minorHAnsi"/>
                <w:sz w:val="22"/>
                <w:szCs w:val="22"/>
              </w:rPr>
            </w:pPr>
            <w:r w:rsidRPr="00E178D4">
              <w:rPr>
                <w:rFonts w:asciiTheme="minorHAnsi" w:hAnsiTheme="minorHAnsi"/>
                <w:b/>
                <w:bCs/>
                <w:sz w:val="22"/>
                <w:szCs w:val="22"/>
              </w:rPr>
              <w:t>De la structure des entités aux propriétés physiques de la matière</w:t>
            </w:r>
          </w:p>
        </w:tc>
        <w:tc>
          <w:tcPr>
            <w:tcW w:w="4606" w:type="dxa"/>
            <w:tcBorders>
              <w:bottom w:val="dashed" w:sz="4" w:space="0" w:color="auto"/>
            </w:tcBorders>
          </w:tcPr>
          <w:p w:rsidR="00130A57" w:rsidRPr="00E178D4" w:rsidRDefault="00130A57" w:rsidP="0097202E"/>
        </w:tc>
      </w:tr>
      <w:tr w:rsidR="00017564" w:rsidRPr="00E178D4" w:rsidTr="00017564">
        <w:trPr>
          <w:trHeight w:val="418"/>
        </w:trPr>
        <w:tc>
          <w:tcPr>
            <w:tcW w:w="4606" w:type="dxa"/>
            <w:tcBorders>
              <w:top w:val="dashed" w:sz="4" w:space="0" w:color="auto"/>
              <w:bottom w:val="dashed" w:sz="4" w:space="0" w:color="auto"/>
            </w:tcBorders>
          </w:tcPr>
          <w:p w:rsidR="00017564" w:rsidRPr="00E178D4" w:rsidRDefault="00017564" w:rsidP="00017564">
            <w:pPr>
              <w:pStyle w:val="Paragraphedeliste"/>
              <w:numPr>
                <w:ilvl w:val="0"/>
                <w:numId w:val="5"/>
              </w:numPr>
              <w:autoSpaceDE w:val="0"/>
              <w:autoSpaceDN w:val="0"/>
              <w:adjustRightInd w:val="0"/>
              <w:rPr>
                <w:rFonts w:cs="Times New Roman"/>
                <w:color w:val="000000"/>
              </w:rPr>
            </w:pPr>
            <w:r w:rsidRPr="00E178D4">
              <w:rPr>
                <w:rFonts w:cs="Times New Roman"/>
                <w:color w:val="000000"/>
              </w:rPr>
              <w:t>De la structure à la polarité d’une entité</w:t>
            </w:r>
          </w:p>
          <w:p w:rsidR="00017564" w:rsidRPr="00E178D4" w:rsidRDefault="00017564" w:rsidP="00017564">
            <w:pPr>
              <w:pStyle w:val="Default"/>
              <w:rPr>
                <w:rFonts w:asciiTheme="minorHAnsi" w:hAnsiTheme="minorHAnsi"/>
                <w:b/>
                <w:bCs/>
                <w:sz w:val="22"/>
                <w:szCs w:val="22"/>
              </w:rPr>
            </w:pPr>
          </w:p>
        </w:tc>
        <w:tc>
          <w:tcPr>
            <w:tcW w:w="4606" w:type="dxa"/>
            <w:tcBorders>
              <w:top w:val="dashed" w:sz="4" w:space="0" w:color="auto"/>
              <w:bottom w:val="dashed" w:sz="4" w:space="0" w:color="auto"/>
            </w:tcBorders>
          </w:tcPr>
          <w:p w:rsidR="00017564" w:rsidRDefault="006C0744" w:rsidP="009217B9">
            <w:r>
              <w:t>É</w:t>
            </w:r>
            <w:r w:rsidR="009217B9">
              <w:t xml:space="preserve">tablir </w:t>
            </w:r>
            <w:r w:rsidR="00010A5B">
              <w:t>le schéma</w:t>
            </w:r>
            <w:r w:rsidR="009217B9">
              <w:t xml:space="preserve"> de Lewis de molécules simples</w:t>
            </w:r>
          </w:p>
          <w:p w:rsidR="009217B9" w:rsidRPr="00E178D4" w:rsidRDefault="00010A5B" w:rsidP="00010A5B">
            <w:r>
              <w:t>Déterminer le caractère polaire ou apolaire d’une molécule</w:t>
            </w:r>
          </w:p>
        </w:tc>
      </w:tr>
      <w:tr w:rsidR="00017564" w:rsidRPr="00E178D4" w:rsidTr="00017564">
        <w:trPr>
          <w:trHeight w:val="887"/>
        </w:trPr>
        <w:tc>
          <w:tcPr>
            <w:tcW w:w="4606" w:type="dxa"/>
            <w:tcBorders>
              <w:top w:val="dashed" w:sz="4" w:space="0" w:color="auto"/>
            </w:tcBorders>
          </w:tcPr>
          <w:p w:rsidR="00017564" w:rsidRPr="00E178D4" w:rsidRDefault="00017564" w:rsidP="0097202E">
            <w:pPr>
              <w:pStyle w:val="Default"/>
              <w:numPr>
                <w:ilvl w:val="0"/>
                <w:numId w:val="5"/>
              </w:numPr>
              <w:rPr>
                <w:rFonts w:asciiTheme="minorHAnsi" w:hAnsiTheme="minorHAnsi" w:cs="Times New Roman"/>
                <w:sz w:val="22"/>
                <w:szCs w:val="22"/>
              </w:rPr>
            </w:pPr>
            <w:r w:rsidRPr="00E178D4">
              <w:rPr>
                <w:rFonts w:asciiTheme="minorHAnsi" w:hAnsiTheme="minorHAnsi"/>
                <w:sz w:val="22"/>
                <w:szCs w:val="22"/>
              </w:rPr>
              <w:t xml:space="preserve">De la structure des entités à la cohésion et à la solubilité/miscibilité d’espèces chimiques </w:t>
            </w:r>
          </w:p>
        </w:tc>
        <w:tc>
          <w:tcPr>
            <w:tcW w:w="4606" w:type="dxa"/>
            <w:tcBorders>
              <w:top w:val="dashed" w:sz="4" w:space="0" w:color="auto"/>
            </w:tcBorders>
          </w:tcPr>
          <w:p w:rsidR="00017564" w:rsidRPr="00E178D4" w:rsidRDefault="00010A5B" w:rsidP="00010A5B">
            <w:r>
              <w:t>Modéliser la dissolution d’un composé solide ionique dans l’eau et déterminer la concentration des espèces ioniques dans la solution obtenue</w:t>
            </w:r>
          </w:p>
        </w:tc>
      </w:tr>
      <w:tr w:rsidR="00EC7E3D" w:rsidRPr="00E178D4" w:rsidTr="0083186D">
        <w:trPr>
          <w:trHeight w:val="887"/>
        </w:trPr>
        <w:tc>
          <w:tcPr>
            <w:tcW w:w="9212" w:type="dxa"/>
            <w:gridSpan w:val="2"/>
            <w:tcBorders>
              <w:top w:val="dashed" w:sz="4" w:space="0" w:color="auto"/>
            </w:tcBorders>
          </w:tcPr>
          <w:p w:rsidR="00EC7E3D" w:rsidRPr="00E178D4" w:rsidRDefault="00EC7E3D" w:rsidP="000F2FBE">
            <w:r w:rsidRPr="00E178D4">
              <w:rPr>
                <w:b/>
                <w:color w:val="FF0000"/>
                <w:u w:val="single"/>
              </w:rPr>
              <w:t>Conseils</w:t>
            </w:r>
            <w:r w:rsidRPr="00E178D4">
              <w:rPr>
                <w:b/>
                <w:color w:val="FF0000"/>
              </w:rPr>
              <w:t> :</w:t>
            </w:r>
            <w:r w:rsidRPr="00E178D4">
              <w:rPr>
                <w:color w:val="FF0000"/>
              </w:rPr>
              <w:t xml:space="preserve"> </w:t>
            </w:r>
            <w:r w:rsidR="006C0744" w:rsidRPr="00021CE2">
              <w:rPr>
                <w:color w:val="FF0000"/>
              </w:rPr>
              <w:t>u</w:t>
            </w:r>
            <w:r w:rsidR="00010A5B" w:rsidRPr="00021CE2">
              <w:rPr>
                <w:color w:val="FF0000"/>
              </w:rPr>
              <w:t xml:space="preserve">ne synthèse </w:t>
            </w:r>
            <w:r w:rsidR="00CD76FC">
              <w:rPr>
                <w:color w:val="FF0000"/>
              </w:rPr>
              <w:t xml:space="preserve"> sur les </w:t>
            </w:r>
            <w:r w:rsidR="00010A5B" w:rsidRPr="00021CE2">
              <w:rPr>
                <w:color w:val="FF0000"/>
              </w:rPr>
              <w:t xml:space="preserve">modèles </w:t>
            </w:r>
            <w:r w:rsidR="00CD76FC">
              <w:rPr>
                <w:color w:val="FF0000"/>
              </w:rPr>
              <w:t xml:space="preserve">microscopiques introduits dans cette partie </w:t>
            </w:r>
            <w:r w:rsidR="000F2FBE">
              <w:rPr>
                <w:color w:val="FF0000"/>
              </w:rPr>
              <w:t>permet d’avoir les outils de raisonnement pour aborder les relations structure-propriétés.</w:t>
            </w:r>
            <w:r w:rsidR="00550265">
              <w:rPr>
                <w:color w:val="FF0000"/>
              </w:rPr>
              <w:t xml:space="preserve"> </w:t>
            </w:r>
            <w:r w:rsidR="00EA1B28" w:rsidRPr="00021CE2">
              <w:rPr>
                <w:color w:val="FF0000"/>
              </w:rPr>
              <w:t>Des logiciels de modélisation moléculaire et des</w:t>
            </w:r>
            <w:r w:rsidR="00CE71AE" w:rsidRPr="00021CE2">
              <w:rPr>
                <w:color w:val="FF0000"/>
              </w:rPr>
              <w:t xml:space="preserve"> animations</w:t>
            </w:r>
            <w:r w:rsidR="006C0744" w:rsidRPr="00021CE2">
              <w:rPr>
                <w:color w:val="FF0000"/>
              </w:rPr>
              <w:t xml:space="preserve"> peuvent aussi illustrer cette partie.</w:t>
            </w:r>
          </w:p>
        </w:tc>
      </w:tr>
      <w:tr w:rsidR="00130A57" w:rsidRPr="00E178D4" w:rsidTr="00017564">
        <w:trPr>
          <w:trHeight w:val="804"/>
        </w:trPr>
        <w:tc>
          <w:tcPr>
            <w:tcW w:w="4606" w:type="dxa"/>
            <w:tcBorders>
              <w:bottom w:val="dashed" w:sz="4" w:space="0" w:color="auto"/>
            </w:tcBorders>
          </w:tcPr>
          <w:p w:rsidR="00130A57" w:rsidRPr="00E178D4" w:rsidRDefault="00017564" w:rsidP="00017564">
            <w:pPr>
              <w:pStyle w:val="Default"/>
              <w:numPr>
                <w:ilvl w:val="0"/>
                <w:numId w:val="3"/>
              </w:numPr>
              <w:rPr>
                <w:rFonts w:asciiTheme="minorHAnsi" w:hAnsiTheme="minorHAnsi" w:cs="Times New Roman"/>
                <w:sz w:val="22"/>
                <w:szCs w:val="22"/>
              </w:rPr>
            </w:pPr>
            <w:r w:rsidRPr="00E178D4">
              <w:rPr>
                <w:rFonts w:asciiTheme="minorHAnsi" w:hAnsiTheme="minorHAnsi"/>
                <w:b/>
                <w:bCs/>
                <w:sz w:val="22"/>
                <w:szCs w:val="22"/>
              </w:rPr>
              <w:t xml:space="preserve">Propriétés physico-chimiques, synthèses et combustions d’espèces chimiques organiques </w:t>
            </w:r>
          </w:p>
        </w:tc>
        <w:tc>
          <w:tcPr>
            <w:tcW w:w="4606" w:type="dxa"/>
            <w:tcBorders>
              <w:bottom w:val="dashed" w:sz="4" w:space="0" w:color="auto"/>
            </w:tcBorders>
          </w:tcPr>
          <w:p w:rsidR="00130A57" w:rsidRPr="00E178D4" w:rsidRDefault="00130A57" w:rsidP="0097202E"/>
        </w:tc>
      </w:tr>
      <w:tr w:rsidR="00017564" w:rsidRPr="00E178D4" w:rsidTr="00EC7E3D">
        <w:trPr>
          <w:trHeight w:val="450"/>
        </w:trPr>
        <w:tc>
          <w:tcPr>
            <w:tcW w:w="4606" w:type="dxa"/>
            <w:tcBorders>
              <w:top w:val="dashed" w:sz="4" w:space="0" w:color="auto"/>
              <w:bottom w:val="dashed" w:sz="4" w:space="0" w:color="auto"/>
            </w:tcBorders>
          </w:tcPr>
          <w:p w:rsidR="00017564" w:rsidRPr="00E178D4" w:rsidRDefault="00017564" w:rsidP="00017564">
            <w:pPr>
              <w:pStyle w:val="Paragraphedeliste"/>
              <w:numPr>
                <w:ilvl w:val="0"/>
                <w:numId w:val="7"/>
              </w:numPr>
              <w:autoSpaceDE w:val="0"/>
              <w:autoSpaceDN w:val="0"/>
              <w:adjustRightInd w:val="0"/>
              <w:rPr>
                <w:rFonts w:cs="Times New Roman"/>
                <w:color w:val="000000"/>
              </w:rPr>
            </w:pPr>
            <w:r w:rsidRPr="00E178D4">
              <w:rPr>
                <w:rFonts w:cs="Times New Roman"/>
                <w:color w:val="000000"/>
              </w:rPr>
              <w:t>Structure des entités organiques</w:t>
            </w:r>
          </w:p>
        </w:tc>
        <w:tc>
          <w:tcPr>
            <w:tcW w:w="4606" w:type="dxa"/>
            <w:tcBorders>
              <w:top w:val="dashed" w:sz="4" w:space="0" w:color="auto"/>
              <w:bottom w:val="dashed" w:sz="4" w:space="0" w:color="auto"/>
            </w:tcBorders>
          </w:tcPr>
          <w:p w:rsidR="00017564" w:rsidRPr="00E178D4" w:rsidRDefault="00EA1B28" w:rsidP="0097202E">
            <w:r>
              <w:t>Identifier à partir d’une formule semi-développée le squelette carboné et les groupes caractéristiques associés aux familles de composés : alcool, aldéhyde, cétone et acide carboxylique</w:t>
            </w:r>
          </w:p>
        </w:tc>
      </w:tr>
      <w:tr w:rsidR="00017564" w:rsidRPr="00E178D4" w:rsidTr="00017564">
        <w:trPr>
          <w:trHeight w:val="720"/>
        </w:trPr>
        <w:tc>
          <w:tcPr>
            <w:tcW w:w="4606" w:type="dxa"/>
            <w:tcBorders>
              <w:top w:val="dashed" w:sz="4" w:space="0" w:color="auto"/>
              <w:bottom w:val="dashed" w:sz="4" w:space="0" w:color="auto"/>
            </w:tcBorders>
          </w:tcPr>
          <w:p w:rsidR="00017564" w:rsidRPr="00E178D4" w:rsidRDefault="00017564" w:rsidP="00017564">
            <w:pPr>
              <w:pStyle w:val="Default"/>
              <w:numPr>
                <w:ilvl w:val="0"/>
                <w:numId w:val="7"/>
              </w:numPr>
              <w:rPr>
                <w:rFonts w:asciiTheme="minorHAnsi" w:hAnsiTheme="minorHAnsi"/>
                <w:sz w:val="22"/>
                <w:szCs w:val="22"/>
              </w:rPr>
            </w:pPr>
            <w:r w:rsidRPr="00E178D4">
              <w:rPr>
                <w:rFonts w:asciiTheme="minorHAnsi" w:hAnsiTheme="minorHAnsi"/>
                <w:sz w:val="22"/>
                <w:szCs w:val="22"/>
              </w:rPr>
              <w:t xml:space="preserve">Synthèses d’espèces chimiques organiques </w:t>
            </w:r>
          </w:p>
        </w:tc>
        <w:tc>
          <w:tcPr>
            <w:tcW w:w="4606" w:type="dxa"/>
            <w:tcBorders>
              <w:top w:val="dashed" w:sz="4" w:space="0" w:color="auto"/>
              <w:bottom w:val="dashed" w:sz="4" w:space="0" w:color="auto"/>
            </w:tcBorders>
          </w:tcPr>
          <w:p w:rsidR="00017564" w:rsidRDefault="00EA1B28" w:rsidP="0097202E">
            <w:r>
              <w:t>Identifier les différentes étapes d’un protocole</w:t>
            </w:r>
          </w:p>
          <w:p w:rsidR="00EA1B28" w:rsidRPr="00E178D4" w:rsidRDefault="00EA1B28" w:rsidP="0097202E">
            <w:r>
              <w:t>Déterminer, à partir d’un protocole et de données expérimentales, le rendement d’une synthèse</w:t>
            </w:r>
          </w:p>
        </w:tc>
      </w:tr>
      <w:tr w:rsidR="00017564" w:rsidRPr="00E178D4" w:rsidTr="00EC7E3D">
        <w:trPr>
          <w:trHeight w:val="680"/>
        </w:trPr>
        <w:tc>
          <w:tcPr>
            <w:tcW w:w="4606" w:type="dxa"/>
            <w:tcBorders>
              <w:top w:val="dashed" w:sz="4" w:space="0" w:color="auto"/>
            </w:tcBorders>
          </w:tcPr>
          <w:p w:rsidR="00017564" w:rsidRPr="00E178D4" w:rsidRDefault="00017564" w:rsidP="00017564">
            <w:pPr>
              <w:pStyle w:val="Paragraphedeliste"/>
              <w:numPr>
                <w:ilvl w:val="0"/>
                <w:numId w:val="7"/>
              </w:numPr>
              <w:autoSpaceDE w:val="0"/>
              <w:autoSpaceDN w:val="0"/>
              <w:adjustRightInd w:val="0"/>
              <w:rPr>
                <w:rFonts w:cs="Times New Roman"/>
                <w:color w:val="000000"/>
              </w:rPr>
            </w:pPr>
            <w:r w:rsidRPr="00E178D4">
              <w:rPr>
                <w:rFonts w:cs="Times New Roman"/>
                <w:color w:val="000000"/>
              </w:rPr>
              <w:t xml:space="preserve">Conversion de l’énergie stockée dans la matière organique </w:t>
            </w:r>
          </w:p>
        </w:tc>
        <w:tc>
          <w:tcPr>
            <w:tcW w:w="4606" w:type="dxa"/>
            <w:tcBorders>
              <w:top w:val="dashed" w:sz="4" w:space="0" w:color="auto"/>
            </w:tcBorders>
          </w:tcPr>
          <w:p w:rsidR="009B4083" w:rsidRDefault="00021CE2" w:rsidP="0097202E">
            <w:r>
              <w:t>É</w:t>
            </w:r>
            <w:r w:rsidR="009B4083">
              <w:t>crire l’équation de combustion comp</w:t>
            </w:r>
            <w:r>
              <w:t>lète d’un alcane et d’un alcool</w:t>
            </w:r>
          </w:p>
          <w:p w:rsidR="009B4083" w:rsidRPr="00E178D4" w:rsidRDefault="009B4083" w:rsidP="0097202E">
            <w:r>
              <w:t>Estimer l’</w:t>
            </w:r>
            <w:r w:rsidR="00021CE2">
              <w:t>énergie molaire de combustion en</w:t>
            </w:r>
            <w:r>
              <w:t xml:space="preserve"> phase gazeuse, à partir de la donnée des énergies de liaison</w:t>
            </w:r>
          </w:p>
        </w:tc>
      </w:tr>
      <w:tr w:rsidR="00130A57" w:rsidRPr="00E178D4" w:rsidTr="0097202E">
        <w:tc>
          <w:tcPr>
            <w:tcW w:w="9212" w:type="dxa"/>
            <w:gridSpan w:val="2"/>
          </w:tcPr>
          <w:p w:rsidR="00130A57" w:rsidRPr="00E178D4" w:rsidRDefault="0048480F" w:rsidP="0097202E">
            <w:pPr>
              <w:rPr>
                <w:color w:val="FF0000"/>
              </w:rPr>
            </w:pPr>
            <w:r>
              <w:rPr>
                <w:b/>
                <w:color w:val="FF0000"/>
                <w:u w:val="single"/>
              </w:rPr>
              <w:t>Conseil</w:t>
            </w:r>
            <w:r w:rsidR="00130A57" w:rsidRPr="00E178D4">
              <w:rPr>
                <w:b/>
                <w:color w:val="FF0000"/>
              </w:rPr>
              <w:t> :</w:t>
            </w:r>
            <w:r w:rsidR="00130A57" w:rsidRPr="00E178D4">
              <w:rPr>
                <w:color w:val="FF0000"/>
              </w:rPr>
              <w:t xml:space="preserve"> </w:t>
            </w:r>
            <w:r w:rsidR="00021CE2">
              <w:rPr>
                <w:color w:val="FF0000"/>
              </w:rPr>
              <w:t>c</w:t>
            </w:r>
            <w:r w:rsidR="009B4083">
              <w:rPr>
                <w:color w:val="FF0000"/>
              </w:rPr>
              <w:t xml:space="preserve">ette partie </w:t>
            </w:r>
            <w:r w:rsidR="00BD6008">
              <w:rPr>
                <w:color w:val="FF0000"/>
              </w:rPr>
              <w:t>permet</w:t>
            </w:r>
            <w:r w:rsidR="009B4083">
              <w:rPr>
                <w:color w:val="FF0000"/>
              </w:rPr>
              <w:t xml:space="preserve"> de travailler l’extraction d’informations de textes, de s</w:t>
            </w:r>
            <w:r w:rsidR="00BD6008">
              <w:rPr>
                <w:color w:val="FF0000"/>
              </w:rPr>
              <w:t>chémas, de formules symbolique</w:t>
            </w:r>
            <w:r w:rsidR="00A76C17">
              <w:rPr>
                <w:color w:val="FF0000"/>
              </w:rPr>
              <w:t>s</w:t>
            </w:r>
            <w:r w:rsidR="00BD6008">
              <w:rPr>
                <w:color w:val="FF0000"/>
              </w:rPr>
              <w:t>.</w:t>
            </w:r>
          </w:p>
        </w:tc>
      </w:tr>
    </w:tbl>
    <w:p w:rsidR="00E178D4" w:rsidRDefault="00E178D4" w:rsidP="00E178D4">
      <w:pPr>
        <w:pStyle w:val="Paragraphedeliste"/>
        <w:ind w:left="360"/>
        <w:rPr>
          <w:b/>
          <w:sz w:val="24"/>
        </w:rPr>
      </w:pPr>
    </w:p>
    <w:p w:rsidR="000113A0" w:rsidRPr="00E178D4" w:rsidRDefault="000113A0" w:rsidP="00130A57">
      <w:pPr>
        <w:pStyle w:val="Paragraphedeliste"/>
        <w:numPr>
          <w:ilvl w:val="0"/>
          <w:numId w:val="1"/>
        </w:numPr>
        <w:rPr>
          <w:b/>
          <w:sz w:val="24"/>
        </w:rPr>
      </w:pPr>
      <w:r w:rsidRPr="00E178D4">
        <w:rPr>
          <w:b/>
          <w:sz w:val="24"/>
        </w:rPr>
        <w:t xml:space="preserve">Mouvement et interactions </w:t>
      </w:r>
    </w:p>
    <w:tbl>
      <w:tblPr>
        <w:tblStyle w:val="Grilledutableau"/>
        <w:tblW w:w="0" w:type="auto"/>
        <w:tblLook w:val="04A0" w:firstRow="1" w:lastRow="0" w:firstColumn="1" w:lastColumn="0" w:noHBand="0" w:noVBand="1"/>
      </w:tblPr>
      <w:tblGrid>
        <w:gridCol w:w="4606"/>
        <w:gridCol w:w="4606"/>
      </w:tblGrid>
      <w:tr w:rsidR="00705974" w:rsidRPr="00E178D4" w:rsidTr="005B443E">
        <w:tc>
          <w:tcPr>
            <w:tcW w:w="4606" w:type="dxa"/>
          </w:tcPr>
          <w:p w:rsidR="00705974" w:rsidRPr="00E178D4" w:rsidRDefault="00EC7E3D" w:rsidP="005B443E">
            <w:pPr>
              <w:rPr>
                <w:b/>
              </w:rPr>
            </w:pPr>
            <w:r w:rsidRPr="00E178D4">
              <w:rPr>
                <w:b/>
              </w:rPr>
              <w:t>Thèmes abordés</w:t>
            </w:r>
          </w:p>
        </w:tc>
        <w:tc>
          <w:tcPr>
            <w:tcW w:w="4606" w:type="dxa"/>
          </w:tcPr>
          <w:p w:rsidR="00705974" w:rsidRPr="00E178D4" w:rsidRDefault="0003317A" w:rsidP="005B443E">
            <w:pPr>
              <w:rPr>
                <w:b/>
              </w:rPr>
            </w:pPr>
            <w:r w:rsidRPr="00E178D4">
              <w:rPr>
                <w:b/>
              </w:rPr>
              <w:t>Capacités à travailler en priorité</w:t>
            </w:r>
          </w:p>
        </w:tc>
      </w:tr>
      <w:tr w:rsidR="000113A0" w:rsidRPr="00E178D4" w:rsidTr="000113A0">
        <w:tc>
          <w:tcPr>
            <w:tcW w:w="4606" w:type="dxa"/>
          </w:tcPr>
          <w:p w:rsidR="00EC7E3D" w:rsidRPr="00E178D4" w:rsidRDefault="00EC7E3D" w:rsidP="00EC7E3D">
            <w:pPr>
              <w:pStyle w:val="Default"/>
              <w:numPr>
                <w:ilvl w:val="0"/>
                <w:numId w:val="8"/>
              </w:numPr>
              <w:rPr>
                <w:rFonts w:asciiTheme="minorHAnsi" w:hAnsiTheme="minorHAnsi"/>
                <w:sz w:val="22"/>
                <w:szCs w:val="22"/>
              </w:rPr>
            </w:pPr>
            <w:r w:rsidRPr="00E178D4">
              <w:rPr>
                <w:rFonts w:asciiTheme="minorHAnsi" w:hAnsiTheme="minorHAnsi"/>
                <w:b/>
                <w:bCs/>
                <w:sz w:val="22"/>
                <w:szCs w:val="22"/>
              </w:rPr>
              <w:t xml:space="preserve">Interactions fondamentales et introduction à la notion de champ </w:t>
            </w:r>
          </w:p>
        </w:tc>
        <w:tc>
          <w:tcPr>
            <w:tcW w:w="4606" w:type="dxa"/>
          </w:tcPr>
          <w:p w:rsidR="0003317A" w:rsidRPr="00E178D4" w:rsidRDefault="00D42F54">
            <w:r w:rsidRPr="00E178D4">
              <w:t xml:space="preserve">Utiliser les lois de Coulomb et de la gravitation universelle </w:t>
            </w:r>
          </w:p>
          <w:p w:rsidR="00D42F54" w:rsidRPr="00E178D4" w:rsidRDefault="00D42F54">
            <w:r w:rsidRPr="00E178D4">
              <w:t>Relier la notion de champ à la notion de force qui s’exerce sur une particule « te</w:t>
            </w:r>
            <w:r w:rsidR="00B615AB">
              <w:t>st</w:t>
            </w:r>
            <w:r w:rsidRPr="00E178D4">
              <w:t xml:space="preserve"> »  </w:t>
            </w:r>
          </w:p>
        </w:tc>
      </w:tr>
      <w:tr w:rsidR="00EC7E3D" w:rsidRPr="00E178D4" w:rsidTr="00764A93">
        <w:tc>
          <w:tcPr>
            <w:tcW w:w="9212" w:type="dxa"/>
            <w:gridSpan w:val="2"/>
          </w:tcPr>
          <w:p w:rsidR="00EC7E3D" w:rsidRPr="00E178D4" w:rsidRDefault="00EC7E3D" w:rsidP="00D42F54">
            <w:pPr>
              <w:rPr>
                <w:color w:val="FF0000"/>
              </w:rPr>
            </w:pPr>
            <w:r w:rsidRPr="00E178D4">
              <w:rPr>
                <w:b/>
                <w:color w:val="FF0000"/>
                <w:u w:val="single"/>
              </w:rPr>
              <w:t>Conseil </w:t>
            </w:r>
            <w:r w:rsidRPr="00E178D4">
              <w:rPr>
                <w:color w:val="FF0000"/>
              </w:rPr>
              <w:t>:</w:t>
            </w:r>
            <w:r w:rsidR="00D42F54" w:rsidRPr="00E178D4">
              <w:rPr>
                <w:color w:val="FF0000"/>
              </w:rPr>
              <w:t xml:space="preserve"> privilégier les expériences de cours et les vidéos</w:t>
            </w:r>
            <w:r w:rsidR="00021CE2">
              <w:rPr>
                <w:color w:val="FF0000"/>
              </w:rPr>
              <w:t>.</w:t>
            </w:r>
          </w:p>
        </w:tc>
      </w:tr>
      <w:tr w:rsidR="000113A0" w:rsidRPr="00E178D4" w:rsidTr="000113A0">
        <w:tc>
          <w:tcPr>
            <w:tcW w:w="4606" w:type="dxa"/>
          </w:tcPr>
          <w:p w:rsidR="00EC7E3D" w:rsidRPr="00E178D4" w:rsidRDefault="00EC7E3D" w:rsidP="00EC7E3D">
            <w:pPr>
              <w:pStyle w:val="Default"/>
              <w:numPr>
                <w:ilvl w:val="0"/>
                <w:numId w:val="8"/>
              </w:numPr>
              <w:rPr>
                <w:rFonts w:asciiTheme="minorHAnsi" w:hAnsiTheme="minorHAnsi"/>
                <w:sz w:val="22"/>
                <w:szCs w:val="22"/>
              </w:rPr>
            </w:pPr>
            <w:r w:rsidRPr="00E178D4">
              <w:rPr>
                <w:rFonts w:asciiTheme="minorHAnsi" w:hAnsiTheme="minorHAnsi"/>
                <w:b/>
                <w:bCs/>
                <w:sz w:val="22"/>
                <w:szCs w:val="22"/>
              </w:rPr>
              <w:t xml:space="preserve">Description d’un fluide au repos </w:t>
            </w:r>
          </w:p>
          <w:p w:rsidR="000113A0" w:rsidRPr="00E178D4" w:rsidRDefault="000113A0" w:rsidP="000113A0"/>
        </w:tc>
        <w:tc>
          <w:tcPr>
            <w:tcW w:w="4606" w:type="dxa"/>
          </w:tcPr>
          <w:p w:rsidR="002C3A2C" w:rsidRPr="00E178D4" w:rsidRDefault="00D42F54">
            <w:r w:rsidRPr="00E178D4">
              <w:t>Utiliser les lois de Mariotte et de la statique des fluides</w:t>
            </w:r>
          </w:p>
        </w:tc>
      </w:tr>
      <w:tr w:rsidR="00EC7E3D" w:rsidRPr="00E178D4" w:rsidTr="00941569">
        <w:tc>
          <w:tcPr>
            <w:tcW w:w="9212" w:type="dxa"/>
            <w:gridSpan w:val="2"/>
          </w:tcPr>
          <w:p w:rsidR="00EC7E3D" w:rsidRPr="00E178D4" w:rsidRDefault="00EC7E3D">
            <w:pPr>
              <w:rPr>
                <w:color w:val="FF0000"/>
              </w:rPr>
            </w:pPr>
            <w:r w:rsidRPr="00E178D4">
              <w:rPr>
                <w:b/>
                <w:color w:val="FF0000"/>
                <w:u w:val="single"/>
              </w:rPr>
              <w:t>Conseil </w:t>
            </w:r>
            <w:r w:rsidRPr="00E178D4">
              <w:rPr>
                <w:color w:val="FF0000"/>
              </w:rPr>
              <w:t>:</w:t>
            </w:r>
            <w:r w:rsidR="00D42F54" w:rsidRPr="00E178D4">
              <w:rPr>
                <w:color w:val="FF0000"/>
              </w:rPr>
              <w:t xml:space="preserve"> exploiter des données authentiques fournies ou obtenues à l’aide d’une expérience de cours </w:t>
            </w:r>
            <w:r w:rsidR="006A3BCE" w:rsidRPr="00E178D4">
              <w:rPr>
                <w:color w:val="FF0000"/>
              </w:rPr>
              <w:t xml:space="preserve">pour tester </w:t>
            </w:r>
            <w:r w:rsidR="00D42F54" w:rsidRPr="00E178D4">
              <w:rPr>
                <w:color w:val="FF0000"/>
              </w:rPr>
              <w:t xml:space="preserve">les </w:t>
            </w:r>
            <w:r w:rsidR="00B615AB">
              <w:rPr>
                <w:color w:val="FF0000"/>
              </w:rPr>
              <w:t xml:space="preserve">deux </w:t>
            </w:r>
            <w:r w:rsidR="00D42F54" w:rsidRPr="00E178D4">
              <w:rPr>
                <w:color w:val="FF0000"/>
              </w:rPr>
              <w:t>lois.</w:t>
            </w:r>
          </w:p>
        </w:tc>
      </w:tr>
      <w:tr w:rsidR="00EC7E3D" w:rsidRPr="00E178D4" w:rsidTr="000113A0">
        <w:tc>
          <w:tcPr>
            <w:tcW w:w="4606" w:type="dxa"/>
          </w:tcPr>
          <w:p w:rsidR="00EC7E3D" w:rsidRPr="00E178D4" w:rsidRDefault="00EC7E3D" w:rsidP="00EC7E3D">
            <w:pPr>
              <w:pStyle w:val="Default"/>
              <w:numPr>
                <w:ilvl w:val="0"/>
                <w:numId w:val="8"/>
              </w:numPr>
              <w:rPr>
                <w:rFonts w:asciiTheme="minorHAnsi" w:hAnsiTheme="minorHAnsi"/>
                <w:sz w:val="22"/>
                <w:szCs w:val="22"/>
              </w:rPr>
            </w:pPr>
            <w:r w:rsidRPr="00E178D4">
              <w:rPr>
                <w:rFonts w:asciiTheme="minorHAnsi" w:hAnsiTheme="minorHAnsi"/>
                <w:b/>
                <w:bCs/>
                <w:sz w:val="22"/>
                <w:szCs w:val="22"/>
              </w:rPr>
              <w:t xml:space="preserve">Mouvement d’un système </w:t>
            </w:r>
          </w:p>
          <w:p w:rsidR="00EC7E3D" w:rsidRPr="00E178D4" w:rsidRDefault="00EC7E3D" w:rsidP="00EC7E3D">
            <w:pPr>
              <w:pStyle w:val="Default"/>
              <w:rPr>
                <w:rFonts w:asciiTheme="minorHAnsi" w:hAnsiTheme="minorHAnsi"/>
                <w:sz w:val="22"/>
                <w:szCs w:val="22"/>
              </w:rPr>
            </w:pPr>
          </w:p>
        </w:tc>
        <w:tc>
          <w:tcPr>
            <w:tcW w:w="4606" w:type="dxa"/>
          </w:tcPr>
          <w:p w:rsidR="00EC7E3D" w:rsidRPr="00E178D4" w:rsidRDefault="006A3BCE">
            <w:r w:rsidRPr="00E178D4">
              <w:t>Relier</w:t>
            </w:r>
            <w:r w:rsidR="002345B7">
              <w:t xml:space="preserve"> la </w:t>
            </w:r>
            <w:r w:rsidRPr="00E178D4">
              <w:t xml:space="preserve">variation du vecteur vitesse et </w:t>
            </w:r>
            <w:r w:rsidR="002345B7">
              <w:t xml:space="preserve">la </w:t>
            </w:r>
            <w:r w:rsidRPr="00E178D4">
              <w:t xml:space="preserve">somme des forces appliquées dans le cas </w:t>
            </w:r>
            <w:r w:rsidR="00B615AB">
              <w:t>du champ de pesanteur terrestre</w:t>
            </w:r>
          </w:p>
        </w:tc>
      </w:tr>
      <w:tr w:rsidR="00130A57" w:rsidRPr="00E178D4" w:rsidTr="00FF243E">
        <w:tc>
          <w:tcPr>
            <w:tcW w:w="9212" w:type="dxa"/>
            <w:gridSpan w:val="2"/>
          </w:tcPr>
          <w:p w:rsidR="00EC7E3D" w:rsidRPr="00E178D4" w:rsidRDefault="00130A57" w:rsidP="00E178D4">
            <w:pPr>
              <w:rPr>
                <w:color w:val="FF0000"/>
              </w:rPr>
            </w:pPr>
            <w:r w:rsidRPr="00E178D4">
              <w:rPr>
                <w:b/>
                <w:color w:val="FF0000"/>
                <w:u w:val="single"/>
              </w:rPr>
              <w:t>Conseil </w:t>
            </w:r>
            <w:r w:rsidRPr="00E178D4">
              <w:rPr>
                <w:color w:val="FF0000"/>
              </w:rPr>
              <w:t>:</w:t>
            </w:r>
            <w:r w:rsidR="006A3BCE" w:rsidRPr="00E178D4">
              <w:rPr>
                <w:color w:val="FF0000"/>
              </w:rPr>
              <w:t xml:space="preserve"> privilégier une approche numérique en exploitant des données expérimentales </w:t>
            </w:r>
            <w:r w:rsidR="006A3BCE" w:rsidRPr="00E178D4">
              <w:rPr>
                <w:color w:val="FF0000"/>
              </w:rPr>
              <w:lastRenderedPageBreak/>
              <w:t>authentiques</w:t>
            </w:r>
            <w:r w:rsidR="00021CE2">
              <w:rPr>
                <w:color w:val="FF0000"/>
              </w:rPr>
              <w:t>.</w:t>
            </w:r>
          </w:p>
        </w:tc>
      </w:tr>
    </w:tbl>
    <w:p w:rsidR="0048480F" w:rsidRDefault="0048480F" w:rsidP="0048480F">
      <w:pPr>
        <w:pStyle w:val="Paragraphedeliste"/>
        <w:ind w:left="360"/>
        <w:rPr>
          <w:b/>
          <w:sz w:val="24"/>
        </w:rPr>
      </w:pPr>
    </w:p>
    <w:p w:rsidR="0048480F" w:rsidRDefault="0048480F" w:rsidP="0048480F">
      <w:pPr>
        <w:pStyle w:val="Paragraphedeliste"/>
        <w:ind w:left="360"/>
        <w:rPr>
          <w:b/>
          <w:sz w:val="24"/>
        </w:rPr>
      </w:pPr>
    </w:p>
    <w:p w:rsidR="004649E8" w:rsidRDefault="004649E8" w:rsidP="004649E8">
      <w:pPr>
        <w:pStyle w:val="Paragraphedeliste"/>
        <w:ind w:left="360"/>
        <w:rPr>
          <w:b/>
          <w:sz w:val="24"/>
        </w:rPr>
      </w:pPr>
    </w:p>
    <w:p w:rsidR="000113A0" w:rsidRPr="002345B7" w:rsidRDefault="00EC7E3D" w:rsidP="00130A57">
      <w:pPr>
        <w:pStyle w:val="Paragraphedeliste"/>
        <w:numPr>
          <w:ilvl w:val="0"/>
          <w:numId w:val="1"/>
        </w:numPr>
        <w:rPr>
          <w:b/>
          <w:sz w:val="24"/>
        </w:rPr>
      </w:pPr>
      <w:r w:rsidRPr="002345B7">
        <w:rPr>
          <w:b/>
          <w:sz w:val="24"/>
        </w:rPr>
        <w:t xml:space="preserve">L’énergie : </w:t>
      </w:r>
      <w:r w:rsidR="000113A0" w:rsidRPr="002345B7">
        <w:rPr>
          <w:b/>
          <w:sz w:val="24"/>
        </w:rPr>
        <w:t>conversions</w:t>
      </w:r>
      <w:r w:rsidRPr="002345B7">
        <w:rPr>
          <w:b/>
          <w:sz w:val="24"/>
        </w:rPr>
        <w:t xml:space="preserve"> et transferts</w:t>
      </w:r>
      <w:r w:rsidR="000113A0" w:rsidRPr="002345B7">
        <w:rPr>
          <w:b/>
          <w:sz w:val="24"/>
        </w:rPr>
        <w:t xml:space="preserve"> </w:t>
      </w:r>
    </w:p>
    <w:tbl>
      <w:tblPr>
        <w:tblStyle w:val="Grilledutableau"/>
        <w:tblW w:w="0" w:type="auto"/>
        <w:tblLook w:val="04A0" w:firstRow="1" w:lastRow="0" w:firstColumn="1" w:lastColumn="0" w:noHBand="0" w:noVBand="1"/>
      </w:tblPr>
      <w:tblGrid>
        <w:gridCol w:w="4606"/>
        <w:gridCol w:w="4606"/>
      </w:tblGrid>
      <w:tr w:rsidR="00D454D4" w:rsidRPr="00E178D4" w:rsidTr="00705974">
        <w:tc>
          <w:tcPr>
            <w:tcW w:w="4606" w:type="dxa"/>
          </w:tcPr>
          <w:p w:rsidR="00D454D4" w:rsidRPr="00E178D4" w:rsidRDefault="00EC7E3D" w:rsidP="005B443E">
            <w:pPr>
              <w:rPr>
                <w:b/>
              </w:rPr>
            </w:pPr>
            <w:r w:rsidRPr="00E178D4">
              <w:rPr>
                <w:b/>
              </w:rPr>
              <w:t>Thèmes abordés</w:t>
            </w:r>
          </w:p>
        </w:tc>
        <w:tc>
          <w:tcPr>
            <w:tcW w:w="4606" w:type="dxa"/>
          </w:tcPr>
          <w:p w:rsidR="00D454D4" w:rsidRPr="00E178D4" w:rsidRDefault="00D454D4" w:rsidP="0097202E">
            <w:pPr>
              <w:rPr>
                <w:b/>
              </w:rPr>
            </w:pPr>
            <w:r w:rsidRPr="00E178D4">
              <w:rPr>
                <w:b/>
              </w:rPr>
              <w:t>Capacités à travailler en priorité</w:t>
            </w:r>
          </w:p>
        </w:tc>
      </w:tr>
      <w:tr w:rsidR="00D454D4" w:rsidRPr="00E178D4" w:rsidTr="000113A0">
        <w:tc>
          <w:tcPr>
            <w:tcW w:w="4606" w:type="dxa"/>
          </w:tcPr>
          <w:p w:rsidR="00EC7E3D" w:rsidRPr="00E178D4" w:rsidRDefault="00EC7E3D" w:rsidP="00EC7E3D">
            <w:pPr>
              <w:pStyle w:val="Default"/>
              <w:numPr>
                <w:ilvl w:val="0"/>
                <w:numId w:val="9"/>
              </w:numPr>
              <w:rPr>
                <w:rFonts w:asciiTheme="minorHAnsi" w:hAnsiTheme="minorHAnsi"/>
                <w:sz w:val="22"/>
                <w:szCs w:val="22"/>
              </w:rPr>
            </w:pPr>
            <w:r w:rsidRPr="00E178D4">
              <w:rPr>
                <w:rFonts w:asciiTheme="minorHAnsi" w:hAnsiTheme="minorHAnsi"/>
                <w:b/>
                <w:bCs/>
                <w:sz w:val="22"/>
                <w:szCs w:val="22"/>
              </w:rPr>
              <w:t xml:space="preserve">Aspects énergétiques des phénomènes électriques </w:t>
            </w:r>
          </w:p>
        </w:tc>
        <w:tc>
          <w:tcPr>
            <w:tcW w:w="4606" w:type="dxa"/>
          </w:tcPr>
          <w:p w:rsidR="0046413D" w:rsidRPr="00E178D4" w:rsidRDefault="00EF73FE" w:rsidP="0046413D">
            <w:pPr>
              <w:autoSpaceDE w:val="0"/>
              <w:autoSpaceDN w:val="0"/>
              <w:adjustRightInd w:val="0"/>
              <w:rPr>
                <w:rFonts w:cs="AGaramondPro-Regular"/>
              </w:rPr>
            </w:pPr>
            <w:r w:rsidRPr="00E178D4">
              <w:rPr>
                <w:rFonts w:cs="AGaramondPro-Regular"/>
              </w:rPr>
              <w:t>Expliquer la construction de la caractéristique tension-courant d’une source réelle de tension</w:t>
            </w:r>
            <w:r w:rsidR="002345B7">
              <w:rPr>
                <w:rFonts w:cs="AGaramondPro-Regular"/>
              </w:rPr>
              <w:t> ;</w:t>
            </w:r>
            <w:r w:rsidRPr="00E178D4">
              <w:rPr>
                <w:rFonts w:cs="AGaramondPro-Regular"/>
              </w:rPr>
              <w:t xml:space="preserve"> l’exploiter </w:t>
            </w:r>
          </w:p>
          <w:p w:rsidR="00EF73FE" w:rsidRPr="00E178D4" w:rsidRDefault="00EF73FE" w:rsidP="0046413D">
            <w:pPr>
              <w:autoSpaceDE w:val="0"/>
              <w:autoSpaceDN w:val="0"/>
              <w:adjustRightInd w:val="0"/>
              <w:rPr>
                <w:rFonts w:cs="AGaramondPro-Regular"/>
              </w:rPr>
            </w:pPr>
            <w:r w:rsidRPr="00E178D4">
              <w:rPr>
                <w:rFonts w:cs="AGaramondPro-Regular"/>
              </w:rPr>
              <w:t>Différencier énergie et puissance</w:t>
            </w:r>
          </w:p>
          <w:p w:rsidR="00EF73FE" w:rsidRPr="00E178D4" w:rsidRDefault="00EF73FE" w:rsidP="00C473E6">
            <w:pPr>
              <w:autoSpaceDE w:val="0"/>
              <w:autoSpaceDN w:val="0"/>
              <w:adjustRightInd w:val="0"/>
              <w:rPr>
                <w:rFonts w:cs="AGaramondPro-Regular"/>
              </w:rPr>
            </w:pPr>
            <w:r w:rsidRPr="00E178D4">
              <w:rPr>
                <w:rFonts w:cs="AGaramondPro-Regular"/>
              </w:rPr>
              <w:t>Déterminer l’énergie dissipée par effet Joule par un conducteur ohmique</w:t>
            </w:r>
          </w:p>
        </w:tc>
      </w:tr>
      <w:tr w:rsidR="000723ED" w:rsidRPr="00E178D4" w:rsidTr="00092FC3">
        <w:tc>
          <w:tcPr>
            <w:tcW w:w="9212" w:type="dxa"/>
            <w:gridSpan w:val="2"/>
          </w:tcPr>
          <w:p w:rsidR="000723ED" w:rsidRPr="00E178D4" w:rsidRDefault="000723ED" w:rsidP="00C473E6">
            <w:pPr>
              <w:rPr>
                <w:color w:val="FF0000"/>
              </w:rPr>
            </w:pPr>
            <w:r w:rsidRPr="00E178D4">
              <w:rPr>
                <w:b/>
                <w:color w:val="FF0000"/>
                <w:u w:val="single"/>
              </w:rPr>
              <w:t>Conseil</w:t>
            </w:r>
            <w:r w:rsidR="00A55E79">
              <w:rPr>
                <w:b/>
                <w:color w:val="FF0000"/>
                <w:u w:val="single"/>
              </w:rPr>
              <w:t>s</w:t>
            </w:r>
            <w:r w:rsidRPr="00E178D4">
              <w:rPr>
                <w:b/>
                <w:color w:val="FF0000"/>
                <w:u w:val="single"/>
              </w:rPr>
              <w:t> </w:t>
            </w:r>
            <w:r w:rsidRPr="00E178D4">
              <w:rPr>
                <w:color w:val="FF0000"/>
              </w:rPr>
              <w:t>:</w:t>
            </w:r>
            <w:r w:rsidR="00EF73FE" w:rsidRPr="00E178D4">
              <w:rPr>
                <w:color w:val="FF0000"/>
              </w:rPr>
              <w:t xml:space="preserve"> utiliser des données expérimentales authentiques pour illustrer la limite du modèle d’une </w:t>
            </w:r>
            <w:r w:rsidR="00C473E6" w:rsidRPr="00E178D4">
              <w:rPr>
                <w:color w:val="FF0000"/>
              </w:rPr>
              <w:t xml:space="preserve">source réelle de tension. Procéder à des bilans énergétiques sur des circuits très simples à une maille.  </w:t>
            </w:r>
            <w:r w:rsidR="00EF73FE" w:rsidRPr="00E178D4">
              <w:rPr>
                <w:color w:val="FF0000"/>
              </w:rPr>
              <w:t xml:space="preserve">  </w:t>
            </w:r>
          </w:p>
        </w:tc>
      </w:tr>
      <w:tr w:rsidR="00D454D4" w:rsidRPr="00E178D4" w:rsidTr="000113A0">
        <w:tc>
          <w:tcPr>
            <w:tcW w:w="4606" w:type="dxa"/>
          </w:tcPr>
          <w:p w:rsidR="00D454D4" w:rsidRPr="00E178D4" w:rsidRDefault="00EC7E3D" w:rsidP="00EC7E3D">
            <w:pPr>
              <w:pStyle w:val="Default"/>
              <w:numPr>
                <w:ilvl w:val="0"/>
                <w:numId w:val="9"/>
              </w:numPr>
              <w:rPr>
                <w:rFonts w:asciiTheme="minorHAnsi" w:hAnsiTheme="minorHAnsi"/>
                <w:sz w:val="22"/>
                <w:szCs w:val="22"/>
              </w:rPr>
            </w:pPr>
            <w:r w:rsidRPr="00E178D4">
              <w:rPr>
                <w:rFonts w:asciiTheme="minorHAnsi" w:hAnsiTheme="minorHAnsi"/>
                <w:b/>
                <w:bCs/>
                <w:sz w:val="22"/>
                <w:szCs w:val="22"/>
              </w:rPr>
              <w:t xml:space="preserve">Aspects énergétiques des phénomènes mécaniques </w:t>
            </w:r>
          </w:p>
        </w:tc>
        <w:tc>
          <w:tcPr>
            <w:tcW w:w="4606" w:type="dxa"/>
          </w:tcPr>
          <w:p w:rsidR="00C473E6" w:rsidRPr="00E178D4" w:rsidRDefault="00C473E6" w:rsidP="00F11D51">
            <w:r w:rsidRPr="00E178D4">
              <w:t>Évaluer l’énergie cinétique d’un système modélisé par un point matériel</w:t>
            </w:r>
          </w:p>
          <w:p w:rsidR="00C473E6" w:rsidRPr="00E178D4" w:rsidRDefault="00C473E6" w:rsidP="00F11D51">
            <w:r w:rsidRPr="00E178D4">
              <w:t>Évaluer le travail d’une force constante</w:t>
            </w:r>
          </w:p>
          <w:p w:rsidR="00C473E6" w:rsidRPr="00E178D4" w:rsidRDefault="00C473E6" w:rsidP="00F11D51">
            <w:r w:rsidRPr="00E178D4">
              <w:t>Utiliser l’expression de l’énergie potentielle de pesanteur</w:t>
            </w:r>
          </w:p>
          <w:p w:rsidR="00C473E6" w:rsidRPr="00E178D4" w:rsidRDefault="00C473E6" w:rsidP="00F11D51">
            <w:r w:rsidRPr="00E178D4">
              <w:t>Exploiter le théorème de l’énergie cinétique</w:t>
            </w:r>
          </w:p>
          <w:p w:rsidR="0046413D" w:rsidRPr="00E178D4" w:rsidRDefault="00C473E6" w:rsidP="00F11D51">
            <w:r w:rsidRPr="00E178D4">
              <w:t>Utiliser l’énergie mécanique pour conduire un bilan énergétique</w:t>
            </w:r>
          </w:p>
        </w:tc>
      </w:tr>
      <w:tr w:rsidR="00F11D51" w:rsidRPr="00E178D4" w:rsidTr="00BD54DE">
        <w:tc>
          <w:tcPr>
            <w:tcW w:w="9212" w:type="dxa"/>
            <w:gridSpan w:val="2"/>
          </w:tcPr>
          <w:p w:rsidR="00F11D51" w:rsidRPr="00E178D4" w:rsidRDefault="00F74591" w:rsidP="00292BF5">
            <w:r>
              <w:rPr>
                <w:b/>
                <w:color w:val="FF0000"/>
                <w:u w:val="single"/>
              </w:rPr>
              <w:t>Conseil</w:t>
            </w:r>
            <w:r w:rsidR="00F11D51" w:rsidRPr="00E178D4">
              <w:rPr>
                <w:color w:val="FF0000"/>
              </w:rPr>
              <w:t> :</w:t>
            </w:r>
            <w:r w:rsidR="00614083" w:rsidRPr="00E178D4">
              <w:rPr>
                <w:color w:val="FF0000"/>
              </w:rPr>
              <w:t xml:space="preserve"> </w:t>
            </w:r>
            <w:r w:rsidR="00292BF5" w:rsidRPr="00E178D4">
              <w:rPr>
                <w:color w:val="FF0000"/>
              </w:rPr>
              <w:t>l’accent peut être porté sur l’</w:t>
            </w:r>
            <w:r w:rsidR="00292BF5" w:rsidRPr="00E178D4">
              <w:rPr>
                <w:color w:val="FF0000"/>
                <w:u w:val="single"/>
              </w:rPr>
              <w:t>utilisation</w:t>
            </w:r>
            <w:r w:rsidR="00292BF5" w:rsidRPr="00E178D4">
              <w:rPr>
                <w:color w:val="FF0000"/>
              </w:rPr>
              <w:t xml:space="preserve"> des différentes grandeurs énergétiques pour la conduite de bilans énergétiques dans des situations « incontournables » précédée d’une approche qualitative</w:t>
            </w:r>
            <w:r w:rsidR="00A55E79">
              <w:rPr>
                <w:color w:val="FF0000"/>
              </w:rPr>
              <w:t>.</w:t>
            </w:r>
            <w:r w:rsidR="00292BF5" w:rsidRPr="00E178D4">
              <w:rPr>
                <w:color w:val="FF0000"/>
              </w:rPr>
              <w:t xml:space="preserve">    </w:t>
            </w:r>
          </w:p>
        </w:tc>
      </w:tr>
    </w:tbl>
    <w:p w:rsidR="00EC7E3D" w:rsidRPr="00E178D4" w:rsidRDefault="00EC7E3D" w:rsidP="00EC7E3D">
      <w:pPr>
        <w:pStyle w:val="Default"/>
        <w:rPr>
          <w:rFonts w:asciiTheme="minorHAnsi" w:hAnsiTheme="minorHAnsi"/>
          <w:sz w:val="22"/>
          <w:szCs w:val="22"/>
        </w:rPr>
      </w:pPr>
    </w:p>
    <w:p w:rsidR="000113A0" w:rsidRPr="00E178D4" w:rsidRDefault="00EC7E3D" w:rsidP="00EC7E3D">
      <w:pPr>
        <w:pStyle w:val="Paragraphedeliste"/>
        <w:numPr>
          <w:ilvl w:val="0"/>
          <w:numId w:val="1"/>
        </w:numPr>
        <w:rPr>
          <w:b/>
        </w:rPr>
      </w:pPr>
      <w:r w:rsidRPr="00E178D4">
        <w:rPr>
          <w:b/>
        </w:rPr>
        <w:t>Ondes et signaux</w:t>
      </w:r>
    </w:p>
    <w:tbl>
      <w:tblPr>
        <w:tblStyle w:val="Grilledutableau"/>
        <w:tblW w:w="0" w:type="auto"/>
        <w:tblLook w:val="04A0" w:firstRow="1" w:lastRow="0" w:firstColumn="1" w:lastColumn="0" w:noHBand="0" w:noVBand="1"/>
      </w:tblPr>
      <w:tblGrid>
        <w:gridCol w:w="4606"/>
        <w:gridCol w:w="4606"/>
      </w:tblGrid>
      <w:tr w:rsidR="00130A57" w:rsidRPr="00E178D4" w:rsidTr="0097202E">
        <w:tc>
          <w:tcPr>
            <w:tcW w:w="4606" w:type="dxa"/>
          </w:tcPr>
          <w:p w:rsidR="00130A57" w:rsidRPr="00E178D4" w:rsidRDefault="00130A57" w:rsidP="0097202E">
            <w:pPr>
              <w:rPr>
                <w:b/>
              </w:rPr>
            </w:pPr>
            <w:r w:rsidRPr="00E178D4">
              <w:rPr>
                <w:b/>
              </w:rPr>
              <w:t>Attendus de fin de cycle</w:t>
            </w:r>
          </w:p>
        </w:tc>
        <w:tc>
          <w:tcPr>
            <w:tcW w:w="4606" w:type="dxa"/>
          </w:tcPr>
          <w:p w:rsidR="00130A57" w:rsidRPr="00E178D4" w:rsidRDefault="00130A57" w:rsidP="0097202E">
            <w:r w:rsidRPr="00E178D4">
              <w:rPr>
                <w:b/>
              </w:rPr>
              <w:t>Capacités à travailler en priorité</w:t>
            </w:r>
          </w:p>
        </w:tc>
      </w:tr>
      <w:tr w:rsidR="00130A57" w:rsidRPr="00E178D4" w:rsidTr="00292BF5">
        <w:trPr>
          <w:trHeight w:val="1312"/>
        </w:trPr>
        <w:tc>
          <w:tcPr>
            <w:tcW w:w="4606" w:type="dxa"/>
          </w:tcPr>
          <w:p w:rsidR="000723ED" w:rsidRPr="00E178D4" w:rsidRDefault="000723ED" w:rsidP="000723ED">
            <w:pPr>
              <w:pStyle w:val="Default"/>
              <w:numPr>
                <w:ilvl w:val="0"/>
                <w:numId w:val="10"/>
              </w:numPr>
              <w:rPr>
                <w:rFonts w:asciiTheme="minorHAnsi" w:hAnsiTheme="minorHAnsi"/>
                <w:sz w:val="22"/>
                <w:szCs w:val="22"/>
              </w:rPr>
            </w:pPr>
            <w:r w:rsidRPr="00E178D4">
              <w:rPr>
                <w:rFonts w:asciiTheme="minorHAnsi" w:hAnsiTheme="minorHAnsi"/>
                <w:b/>
                <w:bCs/>
                <w:sz w:val="22"/>
                <w:szCs w:val="22"/>
              </w:rPr>
              <w:t xml:space="preserve">Ondes mécaniques </w:t>
            </w:r>
          </w:p>
          <w:p w:rsidR="000723ED" w:rsidRPr="00E178D4" w:rsidRDefault="000723ED" w:rsidP="000723ED">
            <w:pPr>
              <w:pStyle w:val="Default"/>
              <w:rPr>
                <w:rFonts w:asciiTheme="minorHAnsi" w:hAnsiTheme="minorHAnsi"/>
                <w:sz w:val="22"/>
                <w:szCs w:val="22"/>
              </w:rPr>
            </w:pPr>
          </w:p>
          <w:p w:rsidR="00ED6C8F" w:rsidRPr="00E178D4" w:rsidRDefault="00ED6C8F" w:rsidP="0097202E"/>
        </w:tc>
        <w:tc>
          <w:tcPr>
            <w:tcW w:w="4606" w:type="dxa"/>
          </w:tcPr>
          <w:p w:rsidR="00292BF5" w:rsidRPr="00E178D4" w:rsidRDefault="00292BF5" w:rsidP="00292BF5">
            <w:pPr>
              <w:autoSpaceDE w:val="0"/>
              <w:autoSpaceDN w:val="0"/>
              <w:adjustRightInd w:val="0"/>
              <w:rPr>
                <w:rFonts w:cs="Arial"/>
                <w:color w:val="000000"/>
              </w:rPr>
            </w:pPr>
            <w:r w:rsidRPr="00E178D4">
              <w:rPr>
                <w:rFonts w:cs="Arial"/>
                <w:color w:val="000000"/>
              </w:rPr>
              <w:t xml:space="preserve">Exploiter la relation entre </w:t>
            </w:r>
            <w:r w:rsidR="00F74591">
              <w:rPr>
                <w:rFonts w:cs="Arial"/>
                <w:color w:val="000000"/>
              </w:rPr>
              <w:t xml:space="preserve">la </w:t>
            </w:r>
            <w:r w:rsidRPr="00E178D4">
              <w:rPr>
                <w:rFonts w:cs="Arial"/>
                <w:color w:val="000000"/>
              </w:rPr>
              <w:t>durée de propagation, la distance parcourue par une perturbation et la célérité</w:t>
            </w:r>
          </w:p>
          <w:p w:rsidR="00130A57" w:rsidRPr="00E178D4" w:rsidRDefault="00292BF5" w:rsidP="00292BF5">
            <w:pPr>
              <w:autoSpaceDE w:val="0"/>
              <w:autoSpaceDN w:val="0"/>
              <w:adjustRightInd w:val="0"/>
              <w:rPr>
                <w:rFonts w:cs="Arial"/>
                <w:color w:val="000000"/>
              </w:rPr>
            </w:pPr>
            <w:r w:rsidRPr="00E178D4">
              <w:rPr>
                <w:rFonts w:cs="Arial"/>
                <w:color w:val="000000"/>
              </w:rPr>
              <w:t>Pour une onde périodique, justifier et exploiter la relation entre période, longueur d’onde</w:t>
            </w:r>
            <w:r w:rsidR="00F74591">
              <w:rPr>
                <w:rFonts w:cs="Arial"/>
                <w:color w:val="000000"/>
              </w:rPr>
              <w:t xml:space="preserve"> et célérité</w:t>
            </w:r>
            <w:r w:rsidRPr="00E178D4">
              <w:rPr>
                <w:rFonts w:cs="Arial"/>
                <w:color w:val="000000"/>
              </w:rPr>
              <w:t xml:space="preserve"> </w:t>
            </w:r>
          </w:p>
        </w:tc>
      </w:tr>
      <w:tr w:rsidR="000723ED" w:rsidRPr="00E178D4" w:rsidTr="008D774C">
        <w:tc>
          <w:tcPr>
            <w:tcW w:w="9212" w:type="dxa"/>
            <w:gridSpan w:val="2"/>
          </w:tcPr>
          <w:p w:rsidR="000723ED" w:rsidRPr="00E178D4" w:rsidRDefault="00F74591" w:rsidP="0097202E">
            <w:r>
              <w:rPr>
                <w:b/>
                <w:color w:val="FF0000"/>
                <w:u w:val="single"/>
              </w:rPr>
              <w:t>Conseil</w:t>
            </w:r>
            <w:r w:rsidR="000723ED" w:rsidRPr="00E178D4">
              <w:rPr>
                <w:color w:val="FF0000"/>
              </w:rPr>
              <w:t> :</w:t>
            </w:r>
            <w:r w:rsidR="00292BF5" w:rsidRPr="00E178D4">
              <w:rPr>
                <w:color w:val="FF0000"/>
              </w:rPr>
              <w:t xml:space="preserve"> les expériences de cours, les vidéos et les simulations sont particulièrement conseillées</w:t>
            </w:r>
            <w:r w:rsidR="00E178D4">
              <w:rPr>
                <w:color w:val="FF0000"/>
              </w:rPr>
              <w:t xml:space="preserve"> dans ce domaine de la physique</w:t>
            </w:r>
            <w:r w:rsidR="000B6576">
              <w:rPr>
                <w:color w:val="FF0000"/>
              </w:rPr>
              <w:t>.</w:t>
            </w:r>
            <w:r w:rsidR="00E178D4" w:rsidRPr="00E178D4">
              <w:rPr>
                <w:color w:val="FF0000"/>
              </w:rPr>
              <w:t xml:space="preserve"> </w:t>
            </w:r>
            <w:r w:rsidR="00292BF5" w:rsidRPr="00E178D4">
              <w:rPr>
                <w:color w:val="FF0000"/>
              </w:rPr>
              <w:t xml:space="preserve">  </w:t>
            </w:r>
          </w:p>
        </w:tc>
      </w:tr>
      <w:tr w:rsidR="000723ED" w:rsidRPr="00E178D4" w:rsidTr="000723ED">
        <w:trPr>
          <w:trHeight w:val="620"/>
        </w:trPr>
        <w:tc>
          <w:tcPr>
            <w:tcW w:w="4606" w:type="dxa"/>
            <w:tcBorders>
              <w:bottom w:val="dashed" w:sz="4" w:space="0" w:color="auto"/>
            </w:tcBorders>
          </w:tcPr>
          <w:p w:rsidR="000723ED" w:rsidRPr="00E178D4" w:rsidRDefault="000723ED" w:rsidP="000723ED">
            <w:pPr>
              <w:pStyle w:val="Default"/>
              <w:numPr>
                <w:ilvl w:val="0"/>
                <w:numId w:val="10"/>
              </w:numPr>
              <w:rPr>
                <w:rFonts w:asciiTheme="minorHAnsi" w:hAnsiTheme="minorHAnsi"/>
                <w:sz w:val="22"/>
                <w:szCs w:val="22"/>
              </w:rPr>
            </w:pPr>
            <w:r w:rsidRPr="00E178D4">
              <w:rPr>
                <w:rFonts w:asciiTheme="minorHAnsi" w:hAnsiTheme="minorHAnsi"/>
                <w:b/>
                <w:bCs/>
                <w:sz w:val="22"/>
                <w:szCs w:val="22"/>
              </w:rPr>
              <w:t xml:space="preserve">La lumière : images et couleurs, modèles ondulatoire et particulaire </w:t>
            </w:r>
          </w:p>
          <w:p w:rsidR="000723ED" w:rsidRPr="00E178D4" w:rsidRDefault="000723ED" w:rsidP="000723ED">
            <w:pPr>
              <w:autoSpaceDE w:val="0"/>
              <w:autoSpaceDN w:val="0"/>
              <w:adjustRightInd w:val="0"/>
              <w:rPr>
                <w:rFonts w:cs="Times New Roman"/>
                <w:color w:val="000000"/>
              </w:rPr>
            </w:pPr>
          </w:p>
        </w:tc>
        <w:tc>
          <w:tcPr>
            <w:tcW w:w="4606" w:type="dxa"/>
            <w:tcBorders>
              <w:bottom w:val="dashed" w:sz="4" w:space="0" w:color="auto"/>
            </w:tcBorders>
          </w:tcPr>
          <w:p w:rsidR="000723ED" w:rsidRPr="00E178D4" w:rsidRDefault="000723ED" w:rsidP="0097202E"/>
        </w:tc>
      </w:tr>
      <w:tr w:rsidR="000723ED" w:rsidRPr="00E178D4" w:rsidTr="000723ED">
        <w:trPr>
          <w:trHeight w:val="485"/>
        </w:trPr>
        <w:tc>
          <w:tcPr>
            <w:tcW w:w="4606" w:type="dxa"/>
            <w:tcBorders>
              <w:top w:val="dashed" w:sz="4" w:space="0" w:color="auto"/>
              <w:bottom w:val="dashed" w:sz="4" w:space="0" w:color="auto"/>
            </w:tcBorders>
          </w:tcPr>
          <w:p w:rsidR="000723ED" w:rsidRPr="00E178D4" w:rsidRDefault="000723ED" w:rsidP="000723ED">
            <w:pPr>
              <w:pStyle w:val="Paragraphedeliste"/>
              <w:numPr>
                <w:ilvl w:val="0"/>
                <w:numId w:val="11"/>
              </w:numPr>
              <w:autoSpaceDE w:val="0"/>
              <w:autoSpaceDN w:val="0"/>
              <w:adjustRightInd w:val="0"/>
              <w:rPr>
                <w:rFonts w:cs="Times New Roman"/>
                <w:color w:val="000000"/>
              </w:rPr>
            </w:pPr>
            <w:r w:rsidRPr="00E178D4">
              <w:rPr>
                <w:rFonts w:cs="Times New Roman"/>
                <w:color w:val="000000"/>
              </w:rPr>
              <w:t>Images et couleurs</w:t>
            </w:r>
          </w:p>
          <w:p w:rsidR="000723ED" w:rsidRPr="00E178D4" w:rsidRDefault="000723ED" w:rsidP="000723ED">
            <w:pPr>
              <w:autoSpaceDE w:val="0"/>
              <w:autoSpaceDN w:val="0"/>
              <w:adjustRightInd w:val="0"/>
              <w:rPr>
                <w:b/>
                <w:bCs/>
              </w:rPr>
            </w:pPr>
          </w:p>
        </w:tc>
        <w:tc>
          <w:tcPr>
            <w:tcW w:w="4606" w:type="dxa"/>
            <w:tcBorders>
              <w:top w:val="dashed" w:sz="4" w:space="0" w:color="auto"/>
              <w:bottom w:val="dashed" w:sz="4" w:space="0" w:color="auto"/>
            </w:tcBorders>
          </w:tcPr>
          <w:p w:rsidR="00E178D4" w:rsidRDefault="00E178D4" w:rsidP="00E178D4">
            <w:pPr>
              <w:autoSpaceDE w:val="0"/>
              <w:autoSpaceDN w:val="0"/>
              <w:adjustRightInd w:val="0"/>
              <w:rPr>
                <w:rFonts w:cs="Arial"/>
                <w:color w:val="000000"/>
              </w:rPr>
            </w:pPr>
            <w:r>
              <w:rPr>
                <w:rFonts w:cs="Arial"/>
                <w:color w:val="000000"/>
              </w:rPr>
              <w:t>Construire l’image d’un objet à travers une lentille mince</w:t>
            </w:r>
          </w:p>
          <w:p w:rsidR="00E178D4" w:rsidRDefault="00E178D4" w:rsidP="00E178D4">
            <w:pPr>
              <w:autoSpaceDE w:val="0"/>
              <w:autoSpaceDN w:val="0"/>
              <w:adjustRightInd w:val="0"/>
              <w:rPr>
                <w:rFonts w:cs="Arial"/>
                <w:color w:val="000000"/>
              </w:rPr>
            </w:pPr>
            <w:r w:rsidRPr="00E178D4">
              <w:rPr>
                <w:rFonts w:cs="Arial"/>
                <w:color w:val="000000"/>
              </w:rPr>
              <w:t>Exploiter les relations de conjugais</w:t>
            </w:r>
            <w:r>
              <w:rPr>
                <w:rFonts w:cs="Arial"/>
                <w:color w:val="000000"/>
              </w:rPr>
              <w:t>on et de grandissement fournies</w:t>
            </w:r>
          </w:p>
          <w:p w:rsidR="00E178D4" w:rsidRPr="00E178D4" w:rsidRDefault="00E178D4" w:rsidP="00E178D4">
            <w:pPr>
              <w:autoSpaceDE w:val="0"/>
              <w:autoSpaceDN w:val="0"/>
              <w:adjustRightInd w:val="0"/>
              <w:rPr>
                <w:rFonts w:cs="Arial"/>
                <w:color w:val="000000"/>
              </w:rPr>
            </w:pPr>
            <w:r>
              <w:rPr>
                <w:rFonts w:cs="Arial"/>
                <w:color w:val="000000"/>
              </w:rPr>
              <w:t>Interpréter le modèle de la synthèse additive</w:t>
            </w:r>
          </w:p>
        </w:tc>
      </w:tr>
      <w:tr w:rsidR="000723ED" w:rsidRPr="00E178D4" w:rsidTr="00E9118B">
        <w:trPr>
          <w:trHeight w:val="1128"/>
        </w:trPr>
        <w:tc>
          <w:tcPr>
            <w:tcW w:w="4606" w:type="dxa"/>
            <w:tcBorders>
              <w:top w:val="dashed" w:sz="4" w:space="0" w:color="auto"/>
            </w:tcBorders>
          </w:tcPr>
          <w:p w:rsidR="000723ED" w:rsidRPr="00E178D4" w:rsidRDefault="000723ED" w:rsidP="000723ED">
            <w:pPr>
              <w:pStyle w:val="Paragraphedeliste"/>
              <w:numPr>
                <w:ilvl w:val="0"/>
                <w:numId w:val="11"/>
              </w:numPr>
              <w:autoSpaceDE w:val="0"/>
              <w:autoSpaceDN w:val="0"/>
              <w:adjustRightInd w:val="0"/>
              <w:rPr>
                <w:rFonts w:cs="Times New Roman"/>
                <w:color w:val="000000"/>
              </w:rPr>
            </w:pPr>
            <w:r w:rsidRPr="00E178D4">
              <w:rPr>
                <w:rFonts w:cs="Times New Roman"/>
                <w:color w:val="000000"/>
              </w:rPr>
              <w:t xml:space="preserve">Modèles ondulatoire et particulaire de la lumière </w:t>
            </w:r>
          </w:p>
        </w:tc>
        <w:tc>
          <w:tcPr>
            <w:tcW w:w="4606" w:type="dxa"/>
            <w:tcBorders>
              <w:top w:val="dashed" w:sz="4" w:space="0" w:color="auto"/>
            </w:tcBorders>
          </w:tcPr>
          <w:p w:rsidR="00E9118B" w:rsidRDefault="00E9118B" w:rsidP="00E9118B">
            <w:pPr>
              <w:autoSpaceDE w:val="0"/>
              <w:autoSpaceDN w:val="0"/>
              <w:adjustRightInd w:val="0"/>
              <w:rPr>
                <w:rFonts w:cs="Arial"/>
                <w:color w:val="000000"/>
              </w:rPr>
            </w:pPr>
            <w:r w:rsidRPr="00E9118B">
              <w:rPr>
                <w:rFonts w:cs="Arial"/>
                <w:color w:val="000000"/>
              </w:rPr>
              <w:t>Utiliser une échelle de fréquences ou de longueurs d’onde pour identifier un domaine spectral</w:t>
            </w:r>
          </w:p>
          <w:p w:rsidR="000723ED" w:rsidRPr="00E9118B" w:rsidRDefault="00E9118B" w:rsidP="00E9118B">
            <w:pPr>
              <w:autoSpaceDE w:val="0"/>
              <w:autoSpaceDN w:val="0"/>
              <w:adjustRightInd w:val="0"/>
              <w:rPr>
                <w:rFonts w:cs="Arial"/>
                <w:color w:val="000000"/>
              </w:rPr>
            </w:pPr>
            <w:r w:rsidRPr="00E9118B">
              <w:rPr>
                <w:rFonts w:cs="Arial"/>
                <w:color w:val="000000"/>
              </w:rPr>
              <w:t>Exploiter un</w:t>
            </w:r>
            <w:r>
              <w:rPr>
                <w:rFonts w:cs="Arial"/>
                <w:color w:val="000000"/>
              </w:rPr>
              <w:t xml:space="preserve"> diagramme de niveaux d'énergie </w:t>
            </w:r>
            <w:r>
              <w:rPr>
                <w:rFonts w:cs="Arial"/>
                <w:color w:val="000000"/>
              </w:rPr>
              <w:lastRenderedPageBreak/>
              <w:t>d’un atome</w:t>
            </w:r>
          </w:p>
        </w:tc>
      </w:tr>
      <w:tr w:rsidR="00130A57" w:rsidRPr="00E178D4" w:rsidTr="0097202E">
        <w:tc>
          <w:tcPr>
            <w:tcW w:w="9212" w:type="dxa"/>
            <w:gridSpan w:val="2"/>
          </w:tcPr>
          <w:p w:rsidR="000723ED" w:rsidRPr="00E9118B" w:rsidRDefault="00130A57" w:rsidP="00E9118B">
            <w:r w:rsidRPr="00E178D4">
              <w:rPr>
                <w:b/>
                <w:color w:val="FF0000"/>
                <w:u w:val="single"/>
              </w:rPr>
              <w:lastRenderedPageBreak/>
              <w:t>Conseils</w:t>
            </w:r>
            <w:r w:rsidRPr="00E9118B">
              <w:rPr>
                <w:color w:val="FF0000"/>
              </w:rPr>
              <w:t xml:space="preserve"> : </w:t>
            </w:r>
            <w:r w:rsidR="00E9118B" w:rsidRPr="00E178D4">
              <w:rPr>
                <w:color w:val="FF0000"/>
              </w:rPr>
              <w:t>les expériences de cours, les vidéos et les simulations sont particulièrement conseillées</w:t>
            </w:r>
            <w:r w:rsidR="00E9118B">
              <w:rPr>
                <w:color w:val="FF0000"/>
              </w:rPr>
              <w:t xml:space="preserve"> dans ce domaine de la physique</w:t>
            </w:r>
            <w:r w:rsidR="00E9118B" w:rsidRPr="00E178D4">
              <w:rPr>
                <w:color w:val="FF0000"/>
              </w:rPr>
              <w:t>.</w:t>
            </w:r>
            <w:r w:rsidR="00E9118B">
              <w:rPr>
                <w:color w:val="FF0000"/>
              </w:rPr>
              <w:t xml:space="preserve"> La mise en contexte des notions est essentielle</w:t>
            </w:r>
            <w:r w:rsidR="00A55E79">
              <w:rPr>
                <w:color w:val="FF0000"/>
              </w:rPr>
              <w:t>.</w:t>
            </w:r>
            <w:r w:rsidR="00E9118B" w:rsidRPr="00E178D4">
              <w:rPr>
                <w:color w:val="FF0000"/>
              </w:rPr>
              <w:t xml:space="preserve">   </w:t>
            </w:r>
          </w:p>
        </w:tc>
      </w:tr>
    </w:tbl>
    <w:p w:rsidR="000113A0" w:rsidRPr="00E178D4" w:rsidRDefault="000113A0" w:rsidP="000B6576"/>
    <w:sectPr w:rsidR="000113A0" w:rsidRPr="00E178D4" w:rsidSect="003D57B6">
      <w:footerReference w:type="default" r:id="rId8"/>
      <w:pgSz w:w="11906" w:h="16838"/>
      <w:pgMar w:top="1134"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4BB" w:rsidRDefault="004D64BB" w:rsidP="00ED6C8F">
      <w:pPr>
        <w:spacing w:after="0" w:line="240" w:lineRule="auto"/>
      </w:pPr>
      <w:r>
        <w:separator/>
      </w:r>
    </w:p>
  </w:endnote>
  <w:endnote w:type="continuationSeparator" w:id="0">
    <w:p w:rsidR="004D64BB" w:rsidRDefault="004D64BB" w:rsidP="00ED6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173776"/>
      <w:docPartObj>
        <w:docPartGallery w:val="Page Numbers (Bottom of Page)"/>
        <w:docPartUnique/>
      </w:docPartObj>
    </w:sdtPr>
    <w:sdtEndPr/>
    <w:sdtContent>
      <w:p w:rsidR="000B6576" w:rsidRDefault="000B6576">
        <w:pPr>
          <w:pStyle w:val="Pieddepage"/>
          <w:jc w:val="center"/>
        </w:pPr>
        <w:r>
          <w:fldChar w:fldCharType="begin"/>
        </w:r>
        <w:r>
          <w:instrText>PAGE   \* MERGEFORMAT</w:instrText>
        </w:r>
        <w:r>
          <w:fldChar w:fldCharType="separate"/>
        </w:r>
        <w:r w:rsidR="00C45EA3">
          <w:rPr>
            <w:noProof/>
          </w:rPr>
          <w:t>1</w:t>
        </w:r>
        <w:r>
          <w:fldChar w:fldCharType="end"/>
        </w:r>
      </w:p>
    </w:sdtContent>
  </w:sdt>
  <w:p w:rsidR="000B6576" w:rsidRDefault="000B657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4BB" w:rsidRDefault="004D64BB" w:rsidP="00ED6C8F">
      <w:pPr>
        <w:spacing w:after="0" w:line="240" w:lineRule="auto"/>
      </w:pPr>
      <w:r>
        <w:separator/>
      </w:r>
    </w:p>
  </w:footnote>
  <w:footnote w:type="continuationSeparator" w:id="0">
    <w:p w:rsidR="004D64BB" w:rsidRDefault="004D64BB" w:rsidP="00ED6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3797"/>
    <w:multiLevelType w:val="hybridMultilevel"/>
    <w:tmpl w:val="94D8BC2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2DB374F"/>
    <w:multiLevelType w:val="hybridMultilevel"/>
    <w:tmpl w:val="AF967A6A"/>
    <w:lvl w:ilvl="0" w:tplc="F25664DC">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9901D1B"/>
    <w:multiLevelType w:val="hybridMultilevel"/>
    <w:tmpl w:val="67581D26"/>
    <w:lvl w:ilvl="0" w:tplc="FA56720A">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0A24163"/>
    <w:multiLevelType w:val="hybridMultilevel"/>
    <w:tmpl w:val="23306F4E"/>
    <w:lvl w:ilvl="0" w:tplc="7E920572">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FD36152"/>
    <w:multiLevelType w:val="hybridMultilevel"/>
    <w:tmpl w:val="FB3E0258"/>
    <w:lvl w:ilvl="0" w:tplc="31306960">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7B856EF"/>
    <w:multiLevelType w:val="hybridMultilevel"/>
    <w:tmpl w:val="A6F20DD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D2010E0"/>
    <w:multiLevelType w:val="hybridMultilevel"/>
    <w:tmpl w:val="E6969CD4"/>
    <w:lvl w:ilvl="0" w:tplc="17129622">
      <w:start w:val="1"/>
      <w:numFmt w:val="upperLetter"/>
      <w:lvlText w:val="%1)"/>
      <w:lvlJc w:val="left"/>
      <w:pPr>
        <w:ind w:left="360" w:hanging="360"/>
      </w:pPr>
      <w:rPr>
        <w:rFonts w:ascii="Arial" w:hAnsi="Arial" w:cs="Arial" w:hint="default"/>
        <w:sz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62E96367"/>
    <w:multiLevelType w:val="hybridMultilevel"/>
    <w:tmpl w:val="4AA0541C"/>
    <w:lvl w:ilvl="0" w:tplc="61EE7C4E">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63E175D0"/>
    <w:multiLevelType w:val="hybridMultilevel"/>
    <w:tmpl w:val="979E22C6"/>
    <w:lvl w:ilvl="0" w:tplc="14CC5ABE">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68573193"/>
    <w:multiLevelType w:val="hybridMultilevel"/>
    <w:tmpl w:val="0C1E2A0E"/>
    <w:lvl w:ilvl="0" w:tplc="7B9EC570">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78105519"/>
    <w:multiLevelType w:val="hybridMultilevel"/>
    <w:tmpl w:val="D1CAE2DC"/>
    <w:lvl w:ilvl="0" w:tplc="731ED108">
      <w:start w:val="1"/>
      <w:numFmt w:val="decimal"/>
      <w:lvlText w:val="%1."/>
      <w:lvlJc w:val="left"/>
      <w:pPr>
        <w:ind w:left="360" w:hanging="360"/>
      </w:pPr>
      <w:rPr>
        <w:rFonts w:hint="default"/>
        <w:b/>
        <w:sz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5"/>
  </w:num>
  <w:num w:numId="2">
    <w:abstractNumId w:val="0"/>
  </w:num>
  <w:num w:numId="3">
    <w:abstractNumId w:val="10"/>
  </w:num>
  <w:num w:numId="4">
    <w:abstractNumId w:val="8"/>
  </w:num>
  <w:num w:numId="5">
    <w:abstractNumId w:val="9"/>
  </w:num>
  <w:num w:numId="6">
    <w:abstractNumId w:val="4"/>
  </w:num>
  <w:num w:numId="7">
    <w:abstractNumId w:val="6"/>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3A0"/>
    <w:rsid w:val="00010A5B"/>
    <w:rsid w:val="000113A0"/>
    <w:rsid w:val="00017564"/>
    <w:rsid w:val="00021CE2"/>
    <w:rsid w:val="0003317A"/>
    <w:rsid w:val="00041BB8"/>
    <w:rsid w:val="000723ED"/>
    <w:rsid w:val="000752E5"/>
    <w:rsid w:val="000B6576"/>
    <w:rsid w:val="000B65E8"/>
    <w:rsid w:val="000D640E"/>
    <w:rsid w:val="000F2FBE"/>
    <w:rsid w:val="00126168"/>
    <w:rsid w:val="00130A57"/>
    <w:rsid w:val="001B42BD"/>
    <w:rsid w:val="002345B7"/>
    <w:rsid w:val="00280755"/>
    <w:rsid w:val="00292BF5"/>
    <w:rsid w:val="002C3A2C"/>
    <w:rsid w:val="00306282"/>
    <w:rsid w:val="0034057E"/>
    <w:rsid w:val="003601EC"/>
    <w:rsid w:val="003D57B6"/>
    <w:rsid w:val="003D696A"/>
    <w:rsid w:val="004024CF"/>
    <w:rsid w:val="00433F0A"/>
    <w:rsid w:val="0046413D"/>
    <w:rsid w:val="004649E8"/>
    <w:rsid w:val="0048480F"/>
    <w:rsid w:val="004C0B9A"/>
    <w:rsid w:val="004D63FD"/>
    <w:rsid w:val="004D64BB"/>
    <w:rsid w:val="004F5BA4"/>
    <w:rsid w:val="00523CB9"/>
    <w:rsid w:val="00550265"/>
    <w:rsid w:val="00614083"/>
    <w:rsid w:val="006158C4"/>
    <w:rsid w:val="006A3BCE"/>
    <w:rsid w:val="006C0744"/>
    <w:rsid w:val="006F0216"/>
    <w:rsid w:val="00705974"/>
    <w:rsid w:val="00732520"/>
    <w:rsid w:val="007A10D3"/>
    <w:rsid w:val="007A1A01"/>
    <w:rsid w:val="007E4B4E"/>
    <w:rsid w:val="00801936"/>
    <w:rsid w:val="009217B9"/>
    <w:rsid w:val="009B007D"/>
    <w:rsid w:val="009B4083"/>
    <w:rsid w:val="009C1CD0"/>
    <w:rsid w:val="009D0537"/>
    <w:rsid w:val="009D73B6"/>
    <w:rsid w:val="009F4EB2"/>
    <w:rsid w:val="00A021F4"/>
    <w:rsid w:val="00A06065"/>
    <w:rsid w:val="00A42BA8"/>
    <w:rsid w:val="00A55E79"/>
    <w:rsid w:val="00A6069E"/>
    <w:rsid w:val="00A76C17"/>
    <w:rsid w:val="00A814D6"/>
    <w:rsid w:val="00AA35DF"/>
    <w:rsid w:val="00AF6935"/>
    <w:rsid w:val="00B615AB"/>
    <w:rsid w:val="00B64B8D"/>
    <w:rsid w:val="00BB3DC2"/>
    <w:rsid w:val="00BD6008"/>
    <w:rsid w:val="00C14CFF"/>
    <w:rsid w:val="00C45EA3"/>
    <w:rsid w:val="00C473E6"/>
    <w:rsid w:val="00C56636"/>
    <w:rsid w:val="00CD76FC"/>
    <w:rsid w:val="00CE71AE"/>
    <w:rsid w:val="00D42F54"/>
    <w:rsid w:val="00D454D4"/>
    <w:rsid w:val="00D519CB"/>
    <w:rsid w:val="00E10CF9"/>
    <w:rsid w:val="00E178D4"/>
    <w:rsid w:val="00E24F84"/>
    <w:rsid w:val="00E567DF"/>
    <w:rsid w:val="00E824FC"/>
    <w:rsid w:val="00E9118B"/>
    <w:rsid w:val="00E97A78"/>
    <w:rsid w:val="00EA1B28"/>
    <w:rsid w:val="00EC2DD5"/>
    <w:rsid w:val="00EC7E3D"/>
    <w:rsid w:val="00ED6C8F"/>
    <w:rsid w:val="00EF73FE"/>
    <w:rsid w:val="00F11D51"/>
    <w:rsid w:val="00F30ABD"/>
    <w:rsid w:val="00F745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20A6C"/>
  <w15:docId w15:val="{D8FB617A-A27D-49F8-A36B-86E6E9A4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11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30A57"/>
    <w:pPr>
      <w:ind w:left="720"/>
      <w:contextualSpacing/>
    </w:pPr>
  </w:style>
  <w:style w:type="paragraph" w:styleId="Notedebasdepage">
    <w:name w:val="footnote text"/>
    <w:basedOn w:val="Normal"/>
    <w:link w:val="NotedebasdepageCar"/>
    <w:uiPriority w:val="99"/>
    <w:semiHidden/>
    <w:unhideWhenUsed/>
    <w:rsid w:val="00ED6C8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D6C8F"/>
    <w:rPr>
      <w:sz w:val="20"/>
      <w:szCs w:val="20"/>
    </w:rPr>
  </w:style>
  <w:style w:type="character" w:styleId="Appelnotedebasdep">
    <w:name w:val="footnote reference"/>
    <w:basedOn w:val="Policepardfaut"/>
    <w:uiPriority w:val="99"/>
    <w:semiHidden/>
    <w:unhideWhenUsed/>
    <w:rsid w:val="00ED6C8F"/>
    <w:rPr>
      <w:vertAlign w:val="superscript"/>
    </w:rPr>
  </w:style>
  <w:style w:type="character" w:styleId="Lienhypertexte">
    <w:name w:val="Hyperlink"/>
    <w:basedOn w:val="Policepardfaut"/>
    <w:uiPriority w:val="99"/>
    <w:unhideWhenUsed/>
    <w:rsid w:val="00ED6C8F"/>
    <w:rPr>
      <w:color w:val="0000FF" w:themeColor="hyperlink"/>
      <w:u w:val="single"/>
    </w:rPr>
  </w:style>
  <w:style w:type="paragraph" w:customStyle="1" w:styleId="Default">
    <w:name w:val="Default"/>
    <w:rsid w:val="000D640E"/>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C56636"/>
    <w:rPr>
      <w:sz w:val="16"/>
      <w:szCs w:val="16"/>
    </w:rPr>
  </w:style>
  <w:style w:type="paragraph" w:styleId="Commentaire">
    <w:name w:val="annotation text"/>
    <w:basedOn w:val="Normal"/>
    <w:link w:val="CommentaireCar"/>
    <w:uiPriority w:val="99"/>
    <w:semiHidden/>
    <w:unhideWhenUsed/>
    <w:rsid w:val="00C56636"/>
    <w:pPr>
      <w:spacing w:line="240" w:lineRule="auto"/>
    </w:pPr>
    <w:rPr>
      <w:sz w:val="20"/>
      <w:szCs w:val="20"/>
    </w:rPr>
  </w:style>
  <w:style w:type="character" w:customStyle="1" w:styleId="CommentaireCar">
    <w:name w:val="Commentaire Car"/>
    <w:basedOn w:val="Policepardfaut"/>
    <w:link w:val="Commentaire"/>
    <w:uiPriority w:val="99"/>
    <w:semiHidden/>
    <w:rsid w:val="00C56636"/>
    <w:rPr>
      <w:sz w:val="20"/>
      <w:szCs w:val="20"/>
    </w:rPr>
  </w:style>
  <w:style w:type="paragraph" w:styleId="Objetducommentaire">
    <w:name w:val="annotation subject"/>
    <w:basedOn w:val="Commentaire"/>
    <w:next w:val="Commentaire"/>
    <w:link w:val="ObjetducommentaireCar"/>
    <w:uiPriority w:val="99"/>
    <w:semiHidden/>
    <w:unhideWhenUsed/>
    <w:rsid w:val="00C56636"/>
    <w:rPr>
      <w:b/>
      <w:bCs/>
    </w:rPr>
  </w:style>
  <w:style w:type="character" w:customStyle="1" w:styleId="ObjetducommentaireCar">
    <w:name w:val="Objet du commentaire Car"/>
    <w:basedOn w:val="CommentaireCar"/>
    <w:link w:val="Objetducommentaire"/>
    <w:uiPriority w:val="99"/>
    <w:semiHidden/>
    <w:rsid w:val="00C56636"/>
    <w:rPr>
      <w:b/>
      <w:bCs/>
      <w:sz w:val="20"/>
      <w:szCs w:val="20"/>
    </w:rPr>
  </w:style>
  <w:style w:type="paragraph" w:styleId="Textedebulles">
    <w:name w:val="Balloon Text"/>
    <w:basedOn w:val="Normal"/>
    <w:link w:val="TextedebullesCar"/>
    <w:uiPriority w:val="99"/>
    <w:semiHidden/>
    <w:unhideWhenUsed/>
    <w:rsid w:val="00C566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6636"/>
    <w:rPr>
      <w:rFonts w:ascii="Tahoma" w:hAnsi="Tahoma" w:cs="Tahoma"/>
      <w:sz w:val="16"/>
      <w:szCs w:val="16"/>
    </w:rPr>
  </w:style>
  <w:style w:type="paragraph" w:styleId="En-tte">
    <w:name w:val="header"/>
    <w:basedOn w:val="Normal"/>
    <w:link w:val="En-tteCar"/>
    <w:uiPriority w:val="99"/>
    <w:unhideWhenUsed/>
    <w:rsid w:val="000B6576"/>
    <w:pPr>
      <w:tabs>
        <w:tab w:val="center" w:pos="4536"/>
        <w:tab w:val="right" w:pos="9072"/>
      </w:tabs>
      <w:spacing w:after="0" w:line="240" w:lineRule="auto"/>
    </w:pPr>
  </w:style>
  <w:style w:type="character" w:customStyle="1" w:styleId="En-tteCar">
    <w:name w:val="En-tête Car"/>
    <w:basedOn w:val="Policepardfaut"/>
    <w:link w:val="En-tte"/>
    <w:uiPriority w:val="99"/>
    <w:rsid w:val="000B6576"/>
  </w:style>
  <w:style w:type="paragraph" w:styleId="Pieddepage">
    <w:name w:val="footer"/>
    <w:basedOn w:val="Normal"/>
    <w:link w:val="PieddepageCar"/>
    <w:uiPriority w:val="99"/>
    <w:unhideWhenUsed/>
    <w:rsid w:val="000B65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6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60085-EF08-4616-A96A-66025EF6C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1215</Words>
  <Characters>6686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MBMauhourat</dc:creator>
  <cp:lastModifiedBy>jacques.royer@ac-nantes.fr</cp:lastModifiedBy>
  <cp:revision>9</cp:revision>
  <dcterms:created xsi:type="dcterms:W3CDTF">2020-04-26T21:30:00Z</dcterms:created>
  <dcterms:modified xsi:type="dcterms:W3CDTF">2020-05-18T07:20:00Z</dcterms:modified>
</cp:coreProperties>
</file>