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AF" w:rsidRPr="002345B7" w:rsidRDefault="008440AF" w:rsidP="0024336C">
      <w:pPr>
        <w:spacing w:line="240" w:lineRule="auto"/>
        <w:jc w:val="center"/>
        <w:rPr>
          <w:b/>
          <w:sz w:val="24"/>
          <w:szCs w:val="24"/>
        </w:rPr>
      </w:pPr>
      <w:r w:rsidRPr="002345B7">
        <w:rPr>
          <w:b/>
          <w:sz w:val="24"/>
          <w:szCs w:val="24"/>
        </w:rPr>
        <w:t xml:space="preserve">Physique-chimie – </w:t>
      </w:r>
      <w:r>
        <w:rPr>
          <w:b/>
          <w:sz w:val="24"/>
          <w:szCs w:val="24"/>
        </w:rPr>
        <w:t>série ST2S</w:t>
      </w:r>
      <w:r w:rsidRPr="002345B7">
        <w:rPr>
          <w:b/>
          <w:sz w:val="24"/>
          <w:szCs w:val="24"/>
        </w:rPr>
        <w:t xml:space="preserve"> – classe de </w:t>
      </w:r>
      <w:r>
        <w:rPr>
          <w:b/>
          <w:sz w:val="24"/>
          <w:szCs w:val="24"/>
        </w:rPr>
        <w:t>terminale</w:t>
      </w:r>
      <w:r w:rsidRPr="002345B7">
        <w:rPr>
          <w:b/>
          <w:sz w:val="24"/>
          <w:szCs w:val="24"/>
        </w:rPr>
        <w:t xml:space="preserve"> </w:t>
      </w:r>
    </w:p>
    <w:p w:rsidR="008440AF" w:rsidRDefault="008440AF" w:rsidP="0024336C">
      <w:pPr>
        <w:spacing w:line="240" w:lineRule="auto"/>
        <w:rPr>
          <w:b/>
          <w:sz w:val="24"/>
          <w:u w:val="single"/>
        </w:rPr>
      </w:pPr>
      <w:r w:rsidRPr="002345B7">
        <w:rPr>
          <w:b/>
          <w:sz w:val="24"/>
          <w:u w:val="single"/>
        </w:rPr>
        <w:t>Introduction</w:t>
      </w:r>
    </w:p>
    <w:p w:rsidR="00680044" w:rsidRPr="00680044" w:rsidRDefault="00680044" w:rsidP="0024336C">
      <w:pPr>
        <w:spacing w:before="100" w:beforeAutospacing="1" w:after="100" w:afterAutospacing="1" w:line="240" w:lineRule="auto"/>
        <w:jc w:val="both"/>
        <w:rPr>
          <w:rFonts w:eastAsia="Times New Roman" w:cstheme="minorHAnsi"/>
          <w:bCs/>
          <w:lang w:eastAsia="fr-FR"/>
        </w:rPr>
      </w:pPr>
      <w:r w:rsidRPr="00680044">
        <w:rPr>
          <w:rFonts w:eastAsia="Times New Roman" w:cstheme="minorHAnsi"/>
          <w:bCs/>
          <w:lang w:eastAsia="fr-FR"/>
        </w:rPr>
        <w:t xml:space="preserve">Les repères donnés ci-dessous ont une valeur indicative et visent simplement à aider le professeur à identifier les capacités prioritaires qu’il peut choisir de travailler durant la période de reprise. Ces capacités ont été identifiées en fonction de leur importance au regard des notions et dans un objectif d’optimiser la poursuite </w:t>
      </w:r>
      <w:r w:rsidRPr="00EA403A">
        <w:rPr>
          <w:rFonts w:eastAsia="Times New Roman" w:cstheme="minorHAnsi"/>
          <w:bCs/>
          <w:lang w:eastAsia="fr-FR"/>
        </w:rPr>
        <w:t>d’étude</w:t>
      </w:r>
      <w:r w:rsidR="00B94393" w:rsidRPr="00EA403A">
        <w:rPr>
          <w:rFonts w:eastAsia="Times New Roman" w:cstheme="minorHAnsi"/>
          <w:bCs/>
          <w:lang w:eastAsia="fr-FR"/>
        </w:rPr>
        <w:t>s</w:t>
      </w:r>
      <w:r w:rsidR="00BB02B5" w:rsidRPr="00EA403A">
        <w:rPr>
          <w:rFonts w:eastAsia="Times New Roman" w:cstheme="minorHAnsi"/>
          <w:bCs/>
          <w:lang w:eastAsia="fr-FR"/>
        </w:rPr>
        <w:t xml:space="preserve"> supérieures dans les domaines sanitaire et social</w:t>
      </w:r>
      <w:r w:rsidRPr="00680044">
        <w:rPr>
          <w:rFonts w:eastAsia="Times New Roman" w:cstheme="minorHAnsi"/>
          <w:bCs/>
          <w:lang w:eastAsia="fr-FR"/>
        </w:rPr>
        <w:t xml:space="preserve">. </w:t>
      </w:r>
    </w:p>
    <w:p w:rsidR="00680044" w:rsidRPr="00680044" w:rsidRDefault="00680044" w:rsidP="0024336C">
      <w:pPr>
        <w:spacing w:before="100" w:beforeAutospacing="1" w:after="100" w:afterAutospacing="1" w:line="240" w:lineRule="auto"/>
        <w:jc w:val="both"/>
        <w:rPr>
          <w:rFonts w:eastAsia="Times New Roman" w:cstheme="minorHAnsi"/>
          <w:bCs/>
          <w:lang w:eastAsia="fr-FR"/>
        </w:rPr>
      </w:pPr>
      <w:r w:rsidRPr="00680044">
        <w:rPr>
          <w:rFonts w:eastAsia="Times New Roman" w:cstheme="minorHAnsi"/>
          <w:bCs/>
          <w:lang w:eastAsia="fr-FR"/>
        </w:rPr>
        <w:t>Les choix effectués dépendent naturellement de ce qui a déjà été traité par le professeur et des conditions de la continuité pédagogique pendant la période de confinement. Pendant cette courte période de reprise, il est d’abord nécessaire de rassurer et de réengager progressivement les élèves dans les apprentissages. Par ailleurs, compte tenu des contraintes sanitaires, on peut s’appuyer sur des expériences conduites par le professeur, des vidéos, des animations et des simulations, et se contenter</w:t>
      </w:r>
      <w:r>
        <w:rPr>
          <w:rFonts w:eastAsia="Times New Roman" w:cstheme="minorHAnsi"/>
          <w:bCs/>
          <w:lang w:eastAsia="fr-FR"/>
        </w:rPr>
        <w:t xml:space="preserve"> d’un nombre restreint d’activités expérimentales pertinentes</w:t>
      </w:r>
      <w:r w:rsidRPr="00680044">
        <w:rPr>
          <w:rFonts w:eastAsia="Times New Roman" w:cstheme="minorHAnsi"/>
          <w:bCs/>
          <w:lang w:eastAsia="fr-FR"/>
        </w:rPr>
        <w:t xml:space="preserve">. </w:t>
      </w:r>
      <w:r w:rsidR="009E7233">
        <w:t xml:space="preserve">Enfin, eu égard à la variabilité vraisemblable des conditions de la reprise (par exemple alternance de séances en présentiel et de travaux à distance), il est recommandé de construire des séances prenant appui sur des activités que les élèves peuvent réaliser en autonomie aussi bien en classe qu'à la maison. Lors d'une séance en présentiel, le professeur peut ainsi accompagner plus particulièrement les élèves absents à la séance précédente.  </w:t>
      </w:r>
      <w:bookmarkStart w:id="0" w:name="_GoBack"/>
      <w:bookmarkEnd w:id="0"/>
    </w:p>
    <w:p w:rsidR="00DC4483" w:rsidRPr="00680044" w:rsidRDefault="00680044" w:rsidP="0024336C">
      <w:pPr>
        <w:spacing w:before="100" w:beforeAutospacing="1" w:after="100" w:afterAutospacing="1" w:line="240" w:lineRule="auto"/>
        <w:jc w:val="both"/>
        <w:rPr>
          <w:rFonts w:eastAsia="Times New Roman" w:cstheme="minorHAnsi"/>
          <w:bCs/>
          <w:lang w:eastAsia="fr-FR"/>
        </w:rPr>
      </w:pPr>
      <w:r w:rsidRPr="00680044">
        <w:rPr>
          <w:rFonts w:eastAsia="Times New Roman" w:cstheme="minorHAnsi"/>
          <w:bCs/>
          <w:lang w:eastAsia="fr-FR"/>
        </w:rPr>
        <w:t>Durant la période de reprise, l’important est d’exploiter les grands principes, en veillant toujours à le faire dans une situation contextualisée</w:t>
      </w:r>
      <w:r>
        <w:rPr>
          <w:rFonts w:eastAsia="Times New Roman" w:cstheme="minorHAnsi"/>
          <w:bCs/>
          <w:lang w:eastAsia="fr-FR"/>
        </w:rPr>
        <w:t xml:space="preserve"> propre à la série ST2S</w:t>
      </w:r>
      <w:r w:rsidRPr="00680044">
        <w:rPr>
          <w:rFonts w:eastAsia="Times New Roman" w:cstheme="minorHAnsi"/>
          <w:bCs/>
          <w:lang w:eastAsia="fr-FR"/>
        </w:rPr>
        <w:t>, sans rechercher une exhaustivité des applications.</w:t>
      </w:r>
    </w:p>
    <w:p w:rsidR="008440AF" w:rsidRPr="002345B7" w:rsidRDefault="008440AF" w:rsidP="0024336C">
      <w:pPr>
        <w:spacing w:line="240" w:lineRule="auto"/>
        <w:rPr>
          <w:b/>
          <w:sz w:val="24"/>
          <w:u w:val="single"/>
        </w:rPr>
      </w:pPr>
      <w:r w:rsidRPr="002345B7">
        <w:rPr>
          <w:b/>
          <w:sz w:val="24"/>
          <w:u w:val="single"/>
        </w:rPr>
        <w:t xml:space="preserve">Capacités à </w:t>
      </w:r>
      <w:r w:rsidR="00680044">
        <w:rPr>
          <w:b/>
          <w:sz w:val="24"/>
          <w:u w:val="single"/>
        </w:rPr>
        <w:t>privilégier</w:t>
      </w:r>
    </w:p>
    <w:p w:rsidR="008440AF" w:rsidRPr="002345B7" w:rsidRDefault="008440AF" w:rsidP="0024336C">
      <w:pPr>
        <w:pStyle w:val="Paragraphedeliste"/>
        <w:numPr>
          <w:ilvl w:val="0"/>
          <w:numId w:val="1"/>
        </w:numPr>
        <w:spacing w:line="240" w:lineRule="auto"/>
        <w:rPr>
          <w:b/>
          <w:sz w:val="24"/>
        </w:rPr>
      </w:pPr>
      <w:r>
        <w:rPr>
          <w:b/>
          <w:sz w:val="24"/>
        </w:rPr>
        <w:t>Pôle « Physique et santé »</w:t>
      </w:r>
    </w:p>
    <w:tbl>
      <w:tblPr>
        <w:tblStyle w:val="Grilledutableau"/>
        <w:tblW w:w="0" w:type="auto"/>
        <w:tblLook w:val="04A0" w:firstRow="1" w:lastRow="0" w:firstColumn="1" w:lastColumn="0" w:noHBand="0" w:noVBand="1"/>
      </w:tblPr>
      <w:tblGrid>
        <w:gridCol w:w="4606"/>
        <w:gridCol w:w="4606"/>
      </w:tblGrid>
      <w:tr w:rsidR="008440AF" w:rsidRPr="00E178D4" w:rsidTr="00B6166A">
        <w:tc>
          <w:tcPr>
            <w:tcW w:w="4606" w:type="dxa"/>
          </w:tcPr>
          <w:p w:rsidR="008440AF" w:rsidRPr="00E178D4" w:rsidRDefault="008440AF" w:rsidP="005011F6">
            <w:pPr>
              <w:spacing w:after="0" w:line="240" w:lineRule="auto"/>
              <w:rPr>
                <w:b/>
              </w:rPr>
            </w:pPr>
            <w:r w:rsidRPr="00E178D4">
              <w:rPr>
                <w:b/>
              </w:rPr>
              <w:t xml:space="preserve">Thèmes abordés </w:t>
            </w:r>
          </w:p>
        </w:tc>
        <w:tc>
          <w:tcPr>
            <w:tcW w:w="4606" w:type="dxa"/>
          </w:tcPr>
          <w:p w:rsidR="008440AF" w:rsidRPr="00E178D4" w:rsidRDefault="008440AF" w:rsidP="005011F6">
            <w:pPr>
              <w:spacing w:after="0" w:line="240" w:lineRule="auto"/>
              <w:rPr>
                <w:b/>
              </w:rPr>
            </w:pPr>
            <w:r w:rsidRPr="00E178D4">
              <w:rPr>
                <w:b/>
              </w:rPr>
              <w:t xml:space="preserve">Capacités à </w:t>
            </w:r>
            <w:r w:rsidR="00680044">
              <w:rPr>
                <w:b/>
              </w:rPr>
              <w:t>privilégier</w:t>
            </w:r>
          </w:p>
        </w:tc>
      </w:tr>
      <w:tr w:rsidR="008440AF" w:rsidRPr="00E178D4" w:rsidTr="00B6166A">
        <w:trPr>
          <w:trHeight w:val="664"/>
        </w:trPr>
        <w:tc>
          <w:tcPr>
            <w:tcW w:w="4606" w:type="dxa"/>
            <w:tcBorders>
              <w:bottom w:val="dashed" w:sz="4" w:space="0" w:color="auto"/>
            </w:tcBorders>
          </w:tcPr>
          <w:p w:rsidR="008440AF" w:rsidRPr="00E178D4" w:rsidRDefault="008440AF" w:rsidP="005011F6">
            <w:pPr>
              <w:pStyle w:val="Default"/>
              <w:numPr>
                <w:ilvl w:val="0"/>
                <w:numId w:val="7"/>
              </w:numPr>
              <w:rPr>
                <w:rFonts w:asciiTheme="minorHAnsi" w:hAnsiTheme="minorHAnsi"/>
              </w:rPr>
            </w:pPr>
            <w:r>
              <w:rPr>
                <w:rFonts w:asciiTheme="minorHAnsi" w:hAnsiTheme="minorHAnsi"/>
                <w:b/>
                <w:bCs/>
              </w:rPr>
              <w:t>Pression et circulations sanguine</w:t>
            </w:r>
          </w:p>
        </w:tc>
        <w:tc>
          <w:tcPr>
            <w:tcW w:w="4606" w:type="dxa"/>
            <w:tcBorders>
              <w:bottom w:val="dashed" w:sz="4" w:space="0" w:color="auto"/>
            </w:tcBorders>
          </w:tcPr>
          <w:p w:rsidR="008440AF" w:rsidRPr="00E178D4" w:rsidRDefault="008440AF" w:rsidP="005011F6">
            <w:pPr>
              <w:spacing w:after="0" w:line="240" w:lineRule="auto"/>
            </w:pPr>
          </w:p>
        </w:tc>
      </w:tr>
      <w:tr w:rsidR="008440AF" w:rsidRPr="00E178D4" w:rsidTr="00B6166A">
        <w:trPr>
          <w:trHeight w:val="997"/>
        </w:trPr>
        <w:tc>
          <w:tcPr>
            <w:tcW w:w="4606" w:type="dxa"/>
            <w:tcBorders>
              <w:top w:val="dashed" w:sz="4" w:space="0" w:color="auto"/>
              <w:bottom w:val="dashed" w:sz="4" w:space="0" w:color="auto"/>
            </w:tcBorders>
          </w:tcPr>
          <w:p w:rsidR="008440AF" w:rsidRPr="008440AF" w:rsidRDefault="008440AF" w:rsidP="005011F6">
            <w:pPr>
              <w:autoSpaceDE w:val="0"/>
              <w:autoSpaceDN w:val="0"/>
              <w:adjustRightInd w:val="0"/>
              <w:spacing w:after="0" w:line="240" w:lineRule="auto"/>
              <w:rPr>
                <w:rFonts w:cs="Times New Roman"/>
                <w:color w:val="000000"/>
              </w:rPr>
            </w:pPr>
            <w:r>
              <w:rPr>
                <w:rFonts w:cs="Times New Roman"/>
                <w:color w:val="000000"/>
              </w:rPr>
              <w:t>4.1 Pression</w:t>
            </w:r>
          </w:p>
        </w:tc>
        <w:tc>
          <w:tcPr>
            <w:tcW w:w="4606" w:type="dxa"/>
            <w:tcBorders>
              <w:top w:val="dashed" w:sz="4" w:space="0" w:color="auto"/>
              <w:bottom w:val="dashed" w:sz="4" w:space="0" w:color="auto"/>
            </w:tcBorders>
          </w:tcPr>
          <w:p w:rsidR="008440AF" w:rsidRDefault="008440AF" w:rsidP="005011F6">
            <w:pPr>
              <w:spacing w:after="0" w:line="240" w:lineRule="auto"/>
            </w:pPr>
            <w:r>
              <w:t>Définir la pression et schématiser une force pressante</w:t>
            </w:r>
            <w:r w:rsidR="0014280E">
              <w:t>.</w:t>
            </w:r>
          </w:p>
          <w:p w:rsidR="008440AF" w:rsidRPr="00E178D4" w:rsidRDefault="008440AF" w:rsidP="005011F6">
            <w:pPr>
              <w:spacing w:after="0" w:line="240" w:lineRule="auto"/>
            </w:pPr>
            <w:r>
              <w:t>Exploiter la relation p=F/S</w:t>
            </w:r>
            <w:r w:rsidR="0014280E">
              <w:t>.</w:t>
            </w:r>
          </w:p>
        </w:tc>
      </w:tr>
      <w:tr w:rsidR="008440AF" w:rsidRPr="00E178D4" w:rsidTr="00B6166A">
        <w:trPr>
          <w:trHeight w:val="720"/>
        </w:trPr>
        <w:tc>
          <w:tcPr>
            <w:tcW w:w="4606" w:type="dxa"/>
            <w:tcBorders>
              <w:top w:val="dashed" w:sz="4" w:space="0" w:color="auto"/>
              <w:bottom w:val="dashed" w:sz="4" w:space="0" w:color="auto"/>
            </w:tcBorders>
          </w:tcPr>
          <w:p w:rsidR="008440AF" w:rsidRPr="008440AF" w:rsidRDefault="008440AF" w:rsidP="005011F6">
            <w:pPr>
              <w:autoSpaceDE w:val="0"/>
              <w:autoSpaceDN w:val="0"/>
              <w:adjustRightInd w:val="0"/>
              <w:spacing w:after="0" w:line="240" w:lineRule="auto"/>
            </w:pPr>
            <w:r>
              <w:t>4.2 Tension artérielle</w:t>
            </w:r>
          </w:p>
        </w:tc>
        <w:tc>
          <w:tcPr>
            <w:tcW w:w="4606" w:type="dxa"/>
            <w:tcBorders>
              <w:top w:val="dashed" w:sz="4" w:space="0" w:color="auto"/>
              <w:bottom w:val="dashed" w:sz="4" w:space="0" w:color="auto"/>
            </w:tcBorders>
          </w:tcPr>
          <w:p w:rsidR="0014280E" w:rsidRDefault="008440AF" w:rsidP="005011F6">
            <w:pPr>
              <w:spacing w:after="0" w:line="240" w:lineRule="auto"/>
            </w:pPr>
            <w:r>
              <w:t>Définir la masse volumique</w:t>
            </w:r>
            <w:r w:rsidR="0014280E">
              <w:t>.</w:t>
            </w:r>
          </w:p>
          <w:p w:rsidR="008440AF" w:rsidRPr="00E178D4" w:rsidRDefault="008440AF" w:rsidP="005011F6">
            <w:pPr>
              <w:spacing w:after="0" w:line="240" w:lineRule="auto"/>
            </w:pPr>
            <w:r>
              <w:t>Enoncer et exploiter la loi fondamentale de la statique des fluides</w:t>
            </w:r>
            <w:r w:rsidR="0014280E">
              <w:t>.</w:t>
            </w:r>
          </w:p>
        </w:tc>
      </w:tr>
      <w:tr w:rsidR="008440AF" w:rsidRPr="00E178D4" w:rsidTr="00B6166A">
        <w:trPr>
          <w:trHeight w:val="787"/>
        </w:trPr>
        <w:tc>
          <w:tcPr>
            <w:tcW w:w="4606" w:type="dxa"/>
            <w:tcBorders>
              <w:top w:val="dashed" w:sz="4" w:space="0" w:color="auto"/>
            </w:tcBorders>
          </w:tcPr>
          <w:p w:rsidR="008440AF" w:rsidRPr="008440AF" w:rsidRDefault="008440AF" w:rsidP="005011F6">
            <w:pPr>
              <w:autoSpaceDE w:val="0"/>
              <w:autoSpaceDN w:val="0"/>
              <w:adjustRightInd w:val="0"/>
              <w:spacing w:after="0" w:line="240" w:lineRule="auto"/>
              <w:rPr>
                <w:rFonts w:cs="Times New Roman"/>
                <w:color w:val="000000"/>
              </w:rPr>
            </w:pPr>
            <w:r>
              <w:rPr>
                <w:rFonts w:cs="Times New Roman"/>
                <w:color w:val="000000"/>
              </w:rPr>
              <w:t>4.3 Ecoulement des liquides</w:t>
            </w:r>
          </w:p>
        </w:tc>
        <w:tc>
          <w:tcPr>
            <w:tcW w:w="4606" w:type="dxa"/>
            <w:tcBorders>
              <w:top w:val="dashed" w:sz="4" w:space="0" w:color="auto"/>
            </w:tcBorders>
          </w:tcPr>
          <w:p w:rsidR="008440AF" w:rsidRPr="00E178D4" w:rsidRDefault="008440AF" w:rsidP="005011F6">
            <w:pPr>
              <w:spacing w:after="0" w:line="240" w:lineRule="auto"/>
            </w:pPr>
            <w:r>
              <w:t>Définir le débit en volume</w:t>
            </w:r>
            <w:r w:rsidR="0014280E">
              <w:t>.</w:t>
            </w:r>
          </w:p>
        </w:tc>
      </w:tr>
      <w:tr w:rsidR="008440AF" w:rsidRPr="00E178D4" w:rsidTr="00B6166A">
        <w:trPr>
          <w:trHeight w:val="787"/>
        </w:trPr>
        <w:tc>
          <w:tcPr>
            <w:tcW w:w="9212" w:type="dxa"/>
            <w:gridSpan w:val="2"/>
            <w:tcBorders>
              <w:top w:val="dashed" w:sz="4" w:space="0" w:color="auto"/>
            </w:tcBorders>
          </w:tcPr>
          <w:p w:rsidR="008440AF" w:rsidRPr="007E4B4E" w:rsidRDefault="008440AF" w:rsidP="005011F6">
            <w:pPr>
              <w:spacing w:after="0" w:line="240" w:lineRule="auto"/>
              <w:rPr>
                <w:color w:val="FF0000"/>
              </w:rPr>
            </w:pPr>
            <w:r w:rsidRPr="00E178D4">
              <w:rPr>
                <w:b/>
                <w:color w:val="FF0000"/>
                <w:u w:val="single"/>
              </w:rPr>
              <w:t>Conseils</w:t>
            </w:r>
            <w:r w:rsidRPr="00E178D4">
              <w:rPr>
                <w:b/>
                <w:color w:val="FF0000"/>
              </w:rPr>
              <w:t> :</w:t>
            </w:r>
            <w:r w:rsidRPr="00E178D4">
              <w:rPr>
                <w:color w:val="FF0000"/>
              </w:rPr>
              <w:t xml:space="preserve"> </w:t>
            </w:r>
            <w:r>
              <w:rPr>
                <w:color w:val="FF0000"/>
              </w:rPr>
              <w:t xml:space="preserve">la mise en œuvre par l’enseignant de ces </w:t>
            </w:r>
            <w:r w:rsidR="002F14FC">
              <w:rPr>
                <w:color w:val="FF0000"/>
              </w:rPr>
              <w:t>capacité</w:t>
            </w:r>
            <w:r>
              <w:rPr>
                <w:color w:val="FF0000"/>
              </w:rPr>
              <w:t>s</w:t>
            </w:r>
            <w:r w:rsidR="002F14FC">
              <w:rPr>
                <w:color w:val="FF0000"/>
              </w:rPr>
              <w:t xml:space="preserve">, dans le contexte de l’analyse de la pression sanguine, </w:t>
            </w:r>
            <w:r>
              <w:rPr>
                <w:color w:val="FF0000"/>
              </w:rPr>
              <w:t xml:space="preserve">peut s’appuyer </w:t>
            </w:r>
            <w:r w:rsidR="002F14FC">
              <w:rPr>
                <w:color w:val="FF0000"/>
              </w:rPr>
              <w:t xml:space="preserve">sur l’extraction d’informations d’un texte et </w:t>
            </w:r>
            <w:r>
              <w:rPr>
                <w:color w:val="FF0000"/>
              </w:rPr>
              <w:t xml:space="preserve">sur l’exploitation de </w:t>
            </w:r>
            <w:r w:rsidR="002F14FC">
              <w:rPr>
                <w:color w:val="FF0000"/>
              </w:rPr>
              <w:t>données représentées sous formes de tableaux ou de graphiques.</w:t>
            </w:r>
          </w:p>
        </w:tc>
      </w:tr>
      <w:tr w:rsidR="008440AF" w:rsidRPr="00E178D4" w:rsidTr="00B6166A">
        <w:trPr>
          <w:trHeight w:val="64"/>
        </w:trPr>
        <w:tc>
          <w:tcPr>
            <w:tcW w:w="4606" w:type="dxa"/>
            <w:tcBorders>
              <w:bottom w:val="dashed" w:sz="4" w:space="0" w:color="auto"/>
            </w:tcBorders>
          </w:tcPr>
          <w:p w:rsidR="008440AF" w:rsidRPr="002F14FC" w:rsidRDefault="002F14FC" w:rsidP="005011F6">
            <w:pPr>
              <w:pStyle w:val="Default"/>
              <w:numPr>
                <w:ilvl w:val="0"/>
                <w:numId w:val="7"/>
              </w:numPr>
              <w:rPr>
                <w:rFonts w:asciiTheme="minorHAnsi" w:hAnsiTheme="minorHAnsi"/>
                <w:b/>
                <w:bCs/>
              </w:rPr>
            </w:pPr>
            <w:r w:rsidRPr="002F14FC">
              <w:rPr>
                <w:rFonts w:asciiTheme="minorHAnsi" w:hAnsiTheme="minorHAnsi"/>
                <w:b/>
                <w:bCs/>
              </w:rPr>
              <w:t>Physique et aide aux diagnostics médicaux</w:t>
            </w:r>
          </w:p>
        </w:tc>
        <w:tc>
          <w:tcPr>
            <w:tcW w:w="4606" w:type="dxa"/>
            <w:tcBorders>
              <w:bottom w:val="dashed" w:sz="4" w:space="0" w:color="auto"/>
            </w:tcBorders>
          </w:tcPr>
          <w:p w:rsidR="008440AF" w:rsidRPr="00E178D4" w:rsidRDefault="008440AF" w:rsidP="005011F6">
            <w:pPr>
              <w:spacing w:after="0" w:line="240" w:lineRule="auto"/>
            </w:pPr>
          </w:p>
        </w:tc>
      </w:tr>
      <w:tr w:rsidR="008440AF" w:rsidRPr="00E178D4" w:rsidTr="00B6166A">
        <w:trPr>
          <w:trHeight w:val="418"/>
        </w:trPr>
        <w:tc>
          <w:tcPr>
            <w:tcW w:w="4606" w:type="dxa"/>
            <w:tcBorders>
              <w:top w:val="dashed" w:sz="4" w:space="0" w:color="auto"/>
              <w:bottom w:val="dashed" w:sz="4" w:space="0" w:color="auto"/>
            </w:tcBorders>
          </w:tcPr>
          <w:p w:rsidR="008440AF" w:rsidRPr="002F14FC" w:rsidRDefault="002F14FC" w:rsidP="005011F6">
            <w:pPr>
              <w:autoSpaceDE w:val="0"/>
              <w:autoSpaceDN w:val="0"/>
              <w:adjustRightInd w:val="0"/>
              <w:spacing w:after="0" w:line="240" w:lineRule="auto"/>
              <w:rPr>
                <w:rFonts w:cs="Times New Roman"/>
                <w:color w:val="000000"/>
              </w:rPr>
            </w:pPr>
            <w:r>
              <w:rPr>
                <w:rFonts w:cs="Times New Roman"/>
                <w:color w:val="000000"/>
              </w:rPr>
              <w:t>5.1 Ondes électromagnétiques et corpuscule associé : le photon</w:t>
            </w:r>
          </w:p>
        </w:tc>
        <w:tc>
          <w:tcPr>
            <w:tcW w:w="4606" w:type="dxa"/>
            <w:tcBorders>
              <w:top w:val="dashed" w:sz="4" w:space="0" w:color="auto"/>
              <w:bottom w:val="dashed" w:sz="4" w:space="0" w:color="auto"/>
            </w:tcBorders>
          </w:tcPr>
          <w:p w:rsidR="008440AF" w:rsidRDefault="002F14FC" w:rsidP="005011F6">
            <w:pPr>
              <w:spacing w:after="0" w:line="240" w:lineRule="auto"/>
            </w:pPr>
            <w:r>
              <w:t>Associer une longueur d’onde à un domaine du spectre électromagnétique</w:t>
            </w:r>
            <w:r w:rsidR="0014280E">
              <w:t>.</w:t>
            </w:r>
          </w:p>
          <w:p w:rsidR="008440AF" w:rsidRDefault="002F14FC" w:rsidP="005011F6">
            <w:pPr>
              <w:spacing w:after="0" w:line="240" w:lineRule="auto"/>
            </w:pPr>
            <w:r>
              <w:t>Exploiter la relation liant la longueur d’onde, la fréquence et la célérité</w:t>
            </w:r>
            <w:r w:rsidR="0014280E">
              <w:t>.</w:t>
            </w:r>
          </w:p>
          <w:p w:rsidR="002F14FC" w:rsidRPr="00E178D4" w:rsidRDefault="002F14FC" w:rsidP="005011F6">
            <w:pPr>
              <w:spacing w:after="0" w:line="240" w:lineRule="auto"/>
            </w:pPr>
            <w:r>
              <w:lastRenderedPageBreak/>
              <w:t>Mettre en relation l’énergie d’un photon et la dangerosité d’un rayonnement électromagnétique</w:t>
            </w:r>
            <w:r w:rsidR="0014280E">
              <w:t>.</w:t>
            </w:r>
          </w:p>
        </w:tc>
      </w:tr>
      <w:tr w:rsidR="008440AF" w:rsidRPr="00E178D4" w:rsidTr="00B6166A">
        <w:trPr>
          <w:trHeight w:val="887"/>
        </w:trPr>
        <w:tc>
          <w:tcPr>
            <w:tcW w:w="4606" w:type="dxa"/>
            <w:tcBorders>
              <w:top w:val="dashed" w:sz="4" w:space="0" w:color="auto"/>
            </w:tcBorders>
          </w:tcPr>
          <w:p w:rsidR="008440AF" w:rsidRPr="00E178D4" w:rsidRDefault="002F14FC" w:rsidP="005011F6">
            <w:pPr>
              <w:pStyle w:val="Default"/>
              <w:rPr>
                <w:rFonts w:asciiTheme="minorHAnsi" w:hAnsiTheme="minorHAnsi" w:cs="Times New Roman"/>
              </w:rPr>
            </w:pPr>
            <w:r>
              <w:rPr>
                <w:rFonts w:asciiTheme="minorHAnsi" w:hAnsiTheme="minorHAnsi"/>
              </w:rPr>
              <w:lastRenderedPageBreak/>
              <w:t xml:space="preserve">5.2 </w:t>
            </w:r>
            <w:r w:rsidR="00462347">
              <w:rPr>
                <w:rFonts w:asciiTheme="minorHAnsi" w:hAnsiTheme="minorHAnsi"/>
              </w:rPr>
              <w:t>Médecine nucléaire</w:t>
            </w:r>
          </w:p>
        </w:tc>
        <w:tc>
          <w:tcPr>
            <w:tcW w:w="4606" w:type="dxa"/>
            <w:tcBorders>
              <w:top w:val="dashed" w:sz="4" w:space="0" w:color="auto"/>
            </w:tcBorders>
          </w:tcPr>
          <w:p w:rsidR="008440AF" w:rsidRDefault="00462347" w:rsidP="005011F6">
            <w:pPr>
              <w:spacing w:after="0" w:line="240" w:lineRule="auto"/>
            </w:pPr>
            <w:r>
              <w:t>Identifier les différents types de désintégration radioactive</w:t>
            </w:r>
            <w:r w:rsidR="00F21FDE">
              <w:t xml:space="preserve"> et écrire l’équation </w:t>
            </w:r>
            <w:r w:rsidR="00051C32">
              <w:t>de désintégration</w:t>
            </w:r>
            <w:r w:rsidR="0014280E">
              <w:t>.</w:t>
            </w:r>
          </w:p>
          <w:p w:rsidR="00E64906" w:rsidRDefault="00F21FDE" w:rsidP="005011F6">
            <w:pPr>
              <w:spacing w:after="0" w:line="240" w:lineRule="auto"/>
            </w:pPr>
            <w:r>
              <w:t>Exploiter la définition de</w:t>
            </w:r>
            <w:r w:rsidR="00E64906">
              <w:t xml:space="preserve"> l’activité et de la demi-vie</w:t>
            </w:r>
            <w:r w:rsidR="0014280E">
              <w:t>.</w:t>
            </w:r>
          </w:p>
          <w:p w:rsidR="00462347" w:rsidRPr="00E178D4" w:rsidRDefault="00F21FDE" w:rsidP="005011F6">
            <w:pPr>
              <w:spacing w:after="0" w:line="240" w:lineRule="auto"/>
            </w:pPr>
            <w:r>
              <w:t>Exploiter la définition de</w:t>
            </w:r>
            <w:r w:rsidR="00E64906">
              <w:t xml:space="preserve"> la dose absorbée</w:t>
            </w:r>
            <w:r w:rsidR="0014280E">
              <w:t>.</w:t>
            </w:r>
          </w:p>
        </w:tc>
      </w:tr>
      <w:tr w:rsidR="00B11754" w:rsidRPr="00E178D4" w:rsidTr="00B6166A">
        <w:trPr>
          <w:trHeight w:val="887"/>
        </w:trPr>
        <w:tc>
          <w:tcPr>
            <w:tcW w:w="4606" w:type="dxa"/>
            <w:tcBorders>
              <w:top w:val="dashed" w:sz="4" w:space="0" w:color="auto"/>
            </w:tcBorders>
          </w:tcPr>
          <w:p w:rsidR="00B11754" w:rsidRDefault="00B11754" w:rsidP="005011F6">
            <w:pPr>
              <w:pStyle w:val="Default"/>
              <w:rPr>
                <w:rFonts w:asciiTheme="minorHAnsi" w:hAnsiTheme="minorHAnsi"/>
              </w:rPr>
            </w:pPr>
            <w:r>
              <w:rPr>
                <w:rFonts w:asciiTheme="minorHAnsi" w:hAnsiTheme="minorHAnsi"/>
              </w:rPr>
              <w:t>5.3 Champ magnétique</w:t>
            </w:r>
          </w:p>
        </w:tc>
        <w:tc>
          <w:tcPr>
            <w:tcW w:w="4606" w:type="dxa"/>
            <w:tcBorders>
              <w:top w:val="dashed" w:sz="4" w:space="0" w:color="auto"/>
            </w:tcBorders>
          </w:tcPr>
          <w:p w:rsidR="00B11754" w:rsidRDefault="00B11754" w:rsidP="005011F6">
            <w:pPr>
              <w:spacing w:after="0" w:line="240" w:lineRule="auto"/>
            </w:pPr>
            <w:r>
              <w:t>Tracer l’allure qualitative des lignes de champ magnétique créé par un aimant en U et un solénoïde</w:t>
            </w:r>
            <w:r w:rsidR="0014280E">
              <w:t>.</w:t>
            </w:r>
          </w:p>
        </w:tc>
      </w:tr>
      <w:tr w:rsidR="008440AF" w:rsidRPr="00E178D4" w:rsidTr="00B6166A">
        <w:trPr>
          <w:trHeight w:val="887"/>
        </w:trPr>
        <w:tc>
          <w:tcPr>
            <w:tcW w:w="9212" w:type="dxa"/>
            <w:gridSpan w:val="2"/>
            <w:tcBorders>
              <w:top w:val="dashed" w:sz="4" w:space="0" w:color="auto"/>
            </w:tcBorders>
          </w:tcPr>
          <w:p w:rsidR="008440AF" w:rsidRPr="00F21FDE" w:rsidRDefault="008440AF" w:rsidP="005011F6">
            <w:pPr>
              <w:spacing w:after="0" w:line="240" w:lineRule="auto"/>
              <w:rPr>
                <w:bCs/>
              </w:rPr>
            </w:pPr>
            <w:r w:rsidRPr="00E178D4">
              <w:rPr>
                <w:b/>
                <w:color w:val="FF0000"/>
                <w:u w:val="single"/>
              </w:rPr>
              <w:t>Conseils</w:t>
            </w:r>
            <w:r w:rsidRPr="00E178D4">
              <w:rPr>
                <w:b/>
                <w:color w:val="FF0000"/>
              </w:rPr>
              <w:t> :</w:t>
            </w:r>
            <w:r w:rsidR="00F21FDE">
              <w:rPr>
                <w:b/>
                <w:color w:val="FF0000"/>
              </w:rPr>
              <w:t xml:space="preserve"> </w:t>
            </w:r>
            <w:r w:rsidR="00B11754">
              <w:rPr>
                <w:color w:val="FF0000"/>
              </w:rPr>
              <w:t>la mise en œuvre par l’enseignant de ces capacités, dans le contexte du diagnostic médical, peut s’appuyer sur l’extraction d’informations d’un texte et sur l’exploitation de données représentées sous formes de tableaux ou de graphiques.</w:t>
            </w:r>
          </w:p>
        </w:tc>
      </w:tr>
      <w:tr w:rsidR="008440AF" w:rsidRPr="00E178D4" w:rsidTr="00B6166A">
        <w:trPr>
          <w:trHeight w:val="804"/>
        </w:trPr>
        <w:tc>
          <w:tcPr>
            <w:tcW w:w="4606" w:type="dxa"/>
            <w:tcBorders>
              <w:bottom w:val="dashed" w:sz="4" w:space="0" w:color="auto"/>
            </w:tcBorders>
          </w:tcPr>
          <w:p w:rsidR="008440AF" w:rsidRPr="00E178D4" w:rsidRDefault="00B11754" w:rsidP="005011F6">
            <w:pPr>
              <w:pStyle w:val="Default"/>
              <w:numPr>
                <w:ilvl w:val="0"/>
                <w:numId w:val="7"/>
              </w:numPr>
              <w:rPr>
                <w:rFonts w:asciiTheme="minorHAnsi" w:hAnsiTheme="minorHAnsi" w:cs="Times New Roman"/>
              </w:rPr>
            </w:pPr>
            <w:r>
              <w:rPr>
                <w:rFonts w:asciiTheme="minorHAnsi" w:hAnsiTheme="minorHAnsi"/>
                <w:b/>
                <w:bCs/>
              </w:rPr>
              <w:t>Energie cinétique et sécurité routière</w:t>
            </w:r>
            <w:r w:rsidR="008440AF" w:rsidRPr="00E178D4">
              <w:rPr>
                <w:rFonts w:asciiTheme="minorHAnsi" w:hAnsiTheme="minorHAnsi"/>
                <w:b/>
                <w:bCs/>
              </w:rPr>
              <w:t xml:space="preserve"> </w:t>
            </w:r>
          </w:p>
        </w:tc>
        <w:tc>
          <w:tcPr>
            <w:tcW w:w="4606" w:type="dxa"/>
            <w:tcBorders>
              <w:bottom w:val="dashed" w:sz="4" w:space="0" w:color="auto"/>
            </w:tcBorders>
          </w:tcPr>
          <w:p w:rsidR="008440AF" w:rsidRPr="00E178D4" w:rsidRDefault="008440AF" w:rsidP="005011F6">
            <w:pPr>
              <w:spacing w:after="0" w:line="240" w:lineRule="auto"/>
            </w:pPr>
          </w:p>
        </w:tc>
      </w:tr>
      <w:tr w:rsidR="008440AF" w:rsidRPr="00E178D4" w:rsidTr="00B6166A">
        <w:trPr>
          <w:trHeight w:val="450"/>
        </w:trPr>
        <w:tc>
          <w:tcPr>
            <w:tcW w:w="4606" w:type="dxa"/>
            <w:tcBorders>
              <w:top w:val="dashed" w:sz="4" w:space="0" w:color="auto"/>
              <w:bottom w:val="dashed" w:sz="4" w:space="0" w:color="auto"/>
            </w:tcBorders>
          </w:tcPr>
          <w:p w:rsidR="008440AF" w:rsidRPr="00B11754" w:rsidRDefault="00B11754" w:rsidP="005011F6">
            <w:pPr>
              <w:autoSpaceDE w:val="0"/>
              <w:autoSpaceDN w:val="0"/>
              <w:adjustRightInd w:val="0"/>
              <w:spacing w:after="0" w:line="240" w:lineRule="auto"/>
              <w:rPr>
                <w:rFonts w:cs="Times New Roman"/>
                <w:color w:val="000000"/>
              </w:rPr>
            </w:pPr>
            <w:r>
              <w:rPr>
                <w:rFonts w:cs="Times New Roman"/>
                <w:color w:val="000000"/>
              </w:rPr>
              <w:t>6.1 Travail d’une force</w:t>
            </w:r>
          </w:p>
        </w:tc>
        <w:tc>
          <w:tcPr>
            <w:tcW w:w="4606" w:type="dxa"/>
            <w:tcBorders>
              <w:top w:val="dashed" w:sz="4" w:space="0" w:color="auto"/>
              <w:bottom w:val="dashed" w:sz="4" w:space="0" w:color="auto"/>
            </w:tcBorders>
          </w:tcPr>
          <w:p w:rsidR="008440AF" w:rsidRPr="00E178D4" w:rsidRDefault="003221BA" w:rsidP="005011F6">
            <w:pPr>
              <w:spacing w:after="0" w:line="240" w:lineRule="auto"/>
            </w:pPr>
            <w:r>
              <w:t>Calculer le travail d’une force constante</w:t>
            </w:r>
            <w:r w:rsidR="0014280E">
              <w:t>.</w:t>
            </w:r>
          </w:p>
        </w:tc>
      </w:tr>
      <w:tr w:rsidR="008440AF" w:rsidRPr="00E178D4" w:rsidTr="00B6166A">
        <w:trPr>
          <w:trHeight w:val="720"/>
        </w:trPr>
        <w:tc>
          <w:tcPr>
            <w:tcW w:w="4606" w:type="dxa"/>
            <w:tcBorders>
              <w:top w:val="dashed" w:sz="4" w:space="0" w:color="auto"/>
              <w:bottom w:val="dashed" w:sz="4" w:space="0" w:color="auto"/>
            </w:tcBorders>
          </w:tcPr>
          <w:p w:rsidR="008440AF" w:rsidRPr="00E178D4" w:rsidRDefault="00B11754" w:rsidP="005011F6">
            <w:pPr>
              <w:pStyle w:val="Default"/>
              <w:rPr>
                <w:rFonts w:asciiTheme="minorHAnsi" w:hAnsiTheme="minorHAnsi"/>
              </w:rPr>
            </w:pPr>
            <w:r>
              <w:rPr>
                <w:rFonts w:asciiTheme="minorHAnsi" w:hAnsiTheme="minorHAnsi"/>
              </w:rPr>
              <w:t>6.2 Définition de l’énergie cinétique d’un solide en translation</w:t>
            </w:r>
          </w:p>
        </w:tc>
        <w:tc>
          <w:tcPr>
            <w:tcW w:w="4606" w:type="dxa"/>
            <w:tcBorders>
              <w:top w:val="dashed" w:sz="4" w:space="0" w:color="auto"/>
              <w:bottom w:val="dashed" w:sz="4" w:space="0" w:color="auto"/>
            </w:tcBorders>
          </w:tcPr>
          <w:p w:rsidR="008440AF" w:rsidRPr="00E178D4" w:rsidRDefault="003221BA" w:rsidP="005011F6">
            <w:pPr>
              <w:spacing w:after="0" w:line="240" w:lineRule="auto"/>
            </w:pPr>
            <w:r>
              <w:t>Exploiter la relation donnant l’énergie cinétique en fonction de la masse et de la vitesse</w:t>
            </w:r>
            <w:r w:rsidR="0014280E">
              <w:t>.</w:t>
            </w:r>
          </w:p>
        </w:tc>
      </w:tr>
      <w:tr w:rsidR="008440AF" w:rsidRPr="00E178D4" w:rsidTr="00B6166A">
        <w:trPr>
          <w:trHeight w:val="680"/>
        </w:trPr>
        <w:tc>
          <w:tcPr>
            <w:tcW w:w="4606" w:type="dxa"/>
            <w:tcBorders>
              <w:top w:val="dashed" w:sz="4" w:space="0" w:color="auto"/>
            </w:tcBorders>
          </w:tcPr>
          <w:p w:rsidR="008440AF" w:rsidRPr="00B11754" w:rsidRDefault="00B11754" w:rsidP="005011F6">
            <w:pPr>
              <w:autoSpaceDE w:val="0"/>
              <w:autoSpaceDN w:val="0"/>
              <w:adjustRightInd w:val="0"/>
              <w:spacing w:after="0" w:line="240" w:lineRule="auto"/>
              <w:rPr>
                <w:rFonts w:cs="Times New Roman"/>
                <w:color w:val="000000"/>
              </w:rPr>
            </w:pPr>
            <w:r>
              <w:rPr>
                <w:rFonts w:cs="Times New Roman"/>
                <w:color w:val="000000"/>
              </w:rPr>
              <w:t>6.3 Applications</w:t>
            </w:r>
          </w:p>
        </w:tc>
        <w:tc>
          <w:tcPr>
            <w:tcW w:w="4606" w:type="dxa"/>
            <w:tcBorders>
              <w:top w:val="dashed" w:sz="4" w:space="0" w:color="auto"/>
            </w:tcBorders>
          </w:tcPr>
          <w:p w:rsidR="008440AF" w:rsidRPr="00E178D4" w:rsidRDefault="003221BA" w:rsidP="005011F6">
            <w:pPr>
              <w:spacing w:after="0" w:line="240" w:lineRule="auto"/>
            </w:pPr>
            <w:r>
              <w:t>Exprimer le travail du poids d’un corps en chute libre en fonction de la hauteur de chute.</w:t>
            </w:r>
          </w:p>
        </w:tc>
      </w:tr>
      <w:tr w:rsidR="008440AF" w:rsidRPr="00E178D4" w:rsidTr="00B6166A">
        <w:tc>
          <w:tcPr>
            <w:tcW w:w="9212" w:type="dxa"/>
            <w:gridSpan w:val="2"/>
          </w:tcPr>
          <w:p w:rsidR="008440AF" w:rsidRPr="00E178D4" w:rsidRDefault="008440AF" w:rsidP="005011F6">
            <w:pPr>
              <w:spacing w:after="0" w:line="240" w:lineRule="auto"/>
              <w:rPr>
                <w:color w:val="FF0000"/>
              </w:rPr>
            </w:pPr>
            <w:r>
              <w:rPr>
                <w:b/>
                <w:color w:val="FF0000"/>
                <w:u w:val="single"/>
              </w:rPr>
              <w:t>Conseil</w:t>
            </w:r>
            <w:r w:rsidR="0024336C">
              <w:rPr>
                <w:b/>
                <w:color w:val="FF0000"/>
                <w:u w:val="single"/>
              </w:rPr>
              <w:t>s</w:t>
            </w:r>
            <w:r w:rsidRPr="00E178D4">
              <w:rPr>
                <w:b/>
                <w:color w:val="FF0000"/>
              </w:rPr>
              <w:t> :</w:t>
            </w:r>
            <w:r w:rsidRPr="00E178D4">
              <w:rPr>
                <w:color w:val="FF0000"/>
              </w:rPr>
              <w:t xml:space="preserve"> </w:t>
            </w:r>
            <w:r w:rsidR="00C422E0">
              <w:rPr>
                <w:color w:val="FF0000"/>
              </w:rPr>
              <w:t>l</w:t>
            </w:r>
            <w:r w:rsidR="003221BA">
              <w:rPr>
                <w:color w:val="FF0000"/>
              </w:rPr>
              <w:t>a notion centrale de cette partie est l’énergie cinétique : on pourra illustrer son ordre de grandeur en calculant le travail du poids sur une hauteur de chute équivalente. Il importe d’insister sur la dépendance de l’énergie cinétique vis-à-vis de la masse et de la vitesse, dans le contexte de la sécurité routière.</w:t>
            </w:r>
          </w:p>
        </w:tc>
      </w:tr>
    </w:tbl>
    <w:p w:rsidR="00B6122F" w:rsidRDefault="00B6122F" w:rsidP="0024336C">
      <w:pPr>
        <w:spacing w:after="0" w:line="240" w:lineRule="auto"/>
        <w:rPr>
          <w:b/>
          <w:sz w:val="24"/>
        </w:rPr>
      </w:pPr>
    </w:p>
    <w:p w:rsidR="003221BA" w:rsidRPr="002345B7" w:rsidRDefault="003221BA" w:rsidP="0024336C">
      <w:pPr>
        <w:pStyle w:val="Paragraphedeliste"/>
        <w:numPr>
          <w:ilvl w:val="0"/>
          <w:numId w:val="1"/>
        </w:numPr>
        <w:spacing w:line="240" w:lineRule="auto"/>
        <w:rPr>
          <w:b/>
          <w:sz w:val="24"/>
        </w:rPr>
      </w:pPr>
      <w:r>
        <w:rPr>
          <w:b/>
          <w:sz w:val="24"/>
        </w:rPr>
        <w:t>Pôle « Chimie et santé »</w:t>
      </w:r>
    </w:p>
    <w:tbl>
      <w:tblPr>
        <w:tblStyle w:val="Grilledutableau"/>
        <w:tblW w:w="0" w:type="auto"/>
        <w:tblLook w:val="04A0" w:firstRow="1" w:lastRow="0" w:firstColumn="1" w:lastColumn="0" w:noHBand="0" w:noVBand="1"/>
      </w:tblPr>
      <w:tblGrid>
        <w:gridCol w:w="4533"/>
        <w:gridCol w:w="4523"/>
      </w:tblGrid>
      <w:tr w:rsidR="003221BA" w:rsidRPr="00E178D4" w:rsidTr="00B94393">
        <w:tc>
          <w:tcPr>
            <w:tcW w:w="4533" w:type="dxa"/>
          </w:tcPr>
          <w:p w:rsidR="003221BA" w:rsidRPr="00E178D4" w:rsidRDefault="003221BA" w:rsidP="005011F6">
            <w:pPr>
              <w:spacing w:after="0" w:line="240" w:lineRule="auto"/>
              <w:rPr>
                <w:b/>
              </w:rPr>
            </w:pPr>
            <w:r w:rsidRPr="00E178D4">
              <w:rPr>
                <w:b/>
              </w:rPr>
              <w:t xml:space="preserve">Thèmes abordés </w:t>
            </w:r>
          </w:p>
        </w:tc>
        <w:tc>
          <w:tcPr>
            <w:tcW w:w="4523" w:type="dxa"/>
          </w:tcPr>
          <w:p w:rsidR="003221BA" w:rsidRPr="00E178D4" w:rsidRDefault="003221BA" w:rsidP="005011F6">
            <w:pPr>
              <w:spacing w:after="0" w:line="240" w:lineRule="auto"/>
              <w:rPr>
                <w:b/>
              </w:rPr>
            </w:pPr>
            <w:r w:rsidRPr="00E178D4">
              <w:rPr>
                <w:b/>
              </w:rPr>
              <w:t xml:space="preserve">Capacités à </w:t>
            </w:r>
            <w:r w:rsidR="00680044">
              <w:rPr>
                <w:b/>
              </w:rPr>
              <w:t>privilégier</w:t>
            </w:r>
          </w:p>
        </w:tc>
      </w:tr>
      <w:tr w:rsidR="003221BA" w:rsidRPr="00E178D4" w:rsidTr="005011F6">
        <w:trPr>
          <w:trHeight w:val="230"/>
        </w:trPr>
        <w:tc>
          <w:tcPr>
            <w:tcW w:w="4533" w:type="dxa"/>
            <w:tcBorders>
              <w:bottom w:val="dashed" w:sz="4" w:space="0" w:color="auto"/>
            </w:tcBorders>
          </w:tcPr>
          <w:p w:rsidR="003221BA" w:rsidRPr="00E178D4" w:rsidRDefault="003221BA" w:rsidP="005011F6">
            <w:pPr>
              <w:pStyle w:val="Default"/>
              <w:numPr>
                <w:ilvl w:val="0"/>
                <w:numId w:val="9"/>
              </w:numPr>
              <w:rPr>
                <w:rFonts w:asciiTheme="minorHAnsi" w:hAnsiTheme="minorHAnsi"/>
              </w:rPr>
            </w:pPr>
            <w:r>
              <w:rPr>
                <w:rFonts w:asciiTheme="minorHAnsi" w:hAnsiTheme="minorHAnsi"/>
                <w:b/>
                <w:bCs/>
              </w:rPr>
              <w:t>Des molécules de la santé</w:t>
            </w:r>
          </w:p>
        </w:tc>
        <w:tc>
          <w:tcPr>
            <w:tcW w:w="4523" w:type="dxa"/>
            <w:tcBorders>
              <w:bottom w:val="dashed" w:sz="4" w:space="0" w:color="auto"/>
            </w:tcBorders>
          </w:tcPr>
          <w:p w:rsidR="003221BA" w:rsidRPr="00E178D4" w:rsidRDefault="003221BA" w:rsidP="005011F6">
            <w:pPr>
              <w:spacing w:after="0" w:line="240" w:lineRule="auto"/>
            </w:pPr>
          </w:p>
        </w:tc>
      </w:tr>
      <w:tr w:rsidR="003221BA" w:rsidRPr="00E178D4" w:rsidTr="005011F6">
        <w:trPr>
          <w:trHeight w:val="518"/>
        </w:trPr>
        <w:tc>
          <w:tcPr>
            <w:tcW w:w="4533" w:type="dxa"/>
            <w:tcBorders>
              <w:top w:val="dashed" w:sz="4" w:space="0" w:color="auto"/>
              <w:bottom w:val="dashed" w:sz="4" w:space="0" w:color="auto"/>
            </w:tcBorders>
          </w:tcPr>
          <w:p w:rsidR="003221BA" w:rsidRPr="008440AF" w:rsidRDefault="003221BA" w:rsidP="005011F6">
            <w:pPr>
              <w:autoSpaceDE w:val="0"/>
              <w:autoSpaceDN w:val="0"/>
              <w:adjustRightInd w:val="0"/>
              <w:spacing w:after="0" w:line="240" w:lineRule="auto"/>
              <w:rPr>
                <w:rFonts w:cs="Times New Roman"/>
                <w:color w:val="000000"/>
              </w:rPr>
            </w:pPr>
            <w:r>
              <w:rPr>
                <w:rFonts w:cs="Times New Roman"/>
                <w:color w:val="000000"/>
              </w:rPr>
              <w:t>8.1 L’aspartame</w:t>
            </w:r>
          </w:p>
        </w:tc>
        <w:tc>
          <w:tcPr>
            <w:tcW w:w="4523" w:type="dxa"/>
            <w:tcBorders>
              <w:top w:val="dashed" w:sz="4" w:space="0" w:color="auto"/>
              <w:bottom w:val="dashed" w:sz="4" w:space="0" w:color="auto"/>
            </w:tcBorders>
          </w:tcPr>
          <w:p w:rsidR="003221BA" w:rsidRPr="00E178D4" w:rsidRDefault="003221BA" w:rsidP="005011F6">
            <w:pPr>
              <w:spacing w:after="0" w:line="240" w:lineRule="auto"/>
            </w:pPr>
            <w:r>
              <w:t>Identifier les groupes caractéristiques présents dans la molécule</w:t>
            </w:r>
            <w:r w:rsidR="0014280E">
              <w:t>.</w:t>
            </w:r>
          </w:p>
        </w:tc>
      </w:tr>
      <w:tr w:rsidR="003221BA" w:rsidRPr="00E178D4" w:rsidTr="00B94393">
        <w:trPr>
          <w:trHeight w:val="720"/>
        </w:trPr>
        <w:tc>
          <w:tcPr>
            <w:tcW w:w="4533" w:type="dxa"/>
            <w:tcBorders>
              <w:top w:val="dashed" w:sz="4" w:space="0" w:color="auto"/>
              <w:bottom w:val="dashed" w:sz="4" w:space="0" w:color="auto"/>
            </w:tcBorders>
          </w:tcPr>
          <w:p w:rsidR="003221BA" w:rsidRPr="008440AF" w:rsidRDefault="003221BA" w:rsidP="005011F6">
            <w:pPr>
              <w:autoSpaceDE w:val="0"/>
              <w:autoSpaceDN w:val="0"/>
              <w:adjustRightInd w:val="0"/>
              <w:spacing w:after="0" w:line="240" w:lineRule="auto"/>
            </w:pPr>
            <w:r>
              <w:t>8.2 Acides aminés</w:t>
            </w:r>
          </w:p>
        </w:tc>
        <w:tc>
          <w:tcPr>
            <w:tcW w:w="4523" w:type="dxa"/>
            <w:tcBorders>
              <w:top w:val="dashed" w:sz="4" w:space="0" w:color="auto"/>
              <w:bottom w:val="dashed" w:sz="4" w:space="0" w:color="auto"/>
            </w:tcBorders>
          </w:tcPr>
          <w:p w:rsidR="003221BA" w:rsidRDefault="006C67F5" w:rsidP="005011F6">
            <w:pPr>
              <w:spacing w:after="0" w:line="240" w:lineRule="auto"/>
            </w:pPr>
            <w:r>
              <w:t>Identifier l’enchainement d’atomes caractéristique d’un</w:t>
            </w:r>
            <w:r w:rsidR="003221BA">
              <w:t xml:space="preserve"> acide </w:t>
            </w:r>
            <w:r>
              <w:rPr>
                <w:rFonts w:cstheme="minorHAnsi"/>
              </w:rPr>
              <w:t>α</w:t>
            </w:r>
            <w:r>
              <w:t>-</w:t>
            </w:r>
            <w:r w:rsidR="003221BA">
              <w:t>aminé</w:t>
            </w:r>
            <w:r>
              <w:t xml:space="preserve"> donné et les groupes caractéristiques qu’il contient.</w:t>
            </w:r>
          </w:p>
          <w:p w:rsidR="003221BA" w:rsidRDefault="006C67F5" w:rsidP="005011F6">
            <w:pPr>
              <w:spacing w:after="0" w:line="240" w:lineRule="auto"/>
            </w:pPr>
            <w:r>
              <w:t>Identifier</w:t>
            </w:r>
            <w:r w:rsidR="003221BA">
              <w:t xml:space="preserve"> un </w:t>
            </w:r>
            <w:r>
              <w:t xml:space="preserve">atome de </w:t>
            </w:r>
            <w:r w:rsidR="003221BA">
              <w:t>carbone asymétrique</w:t>
            </w:r>
            <w:r w:rsidR="006E3DF8">
              <w:t>.</w:t>
            </w:r>
          </w:p>
          <w:p w:rsidR="006E3DF8" w:rsidRPr="00E178D4" w:rsidRDefault="006E3DF8" w:rsidP="005011F6">
            <w:pPr>
              <w:spacing w:after="0" w:line="240" w:lineRule="auto"/>
            </w:pPr>
            <w:r>
              <w:t>Démontrer le caractère chiral d’une molécule</w:t>
            </w:r>
            <w:r w:rsidR="0014280E">
              <w:t>.</w:t>
            </w:r>
          </w:p>
        </w:tc>
      </w:tr>
      <w:tr w:rsidR="003221BA" w:rsidRPr="00E178D4" w:rsidTr="006E3DF8">
        <w:trPr>
          <w:trHeight w:val="2078"/>
        </w:trPr>
        <w:tc>
          <w:tcPr>
            <w:tcW w:w="4533" w:type="dxa"/>
            <w:tcBorders>
              <w:top w:val="dashed" w:sz="4" w:space="0" w:color="auto"/>
            </w:tcBorders>
          </w:tcPr>
          <w:p w:rsidR="003221BA" w:rsidRPr="008440AF" w:rsidRDefault="003221BA" w:rsidP="005011F6">
            <w:pPr>
              <w:autoSpaceDE w:val="0"/>
              <w:autoSpaceDN w:val="0"/>
              <w:adjustRightInd w:val="0"/>
              <w:spacing w:after="0" w:line="240" w:lineRule="auto"/>
              <w:rPr>
                <w:rFonts w:cs="Times New Roman"/>
                <w:color w:val="000000"/>
              </w:rPr>
            </w:pPr>
            <w:r>
              <w:rPr>
                <w:rFonts w:cs="Times New Roman"/>
                <w:color w:val="000000"/>
              </w:rPr>
              <w:t>8.3 Liaison peptidique</w:t>
            </w:r>
          </w:p>
        </w:tc>
        <w:tc>
          <w:tcPr>
            <w:tcW w:w="4523" w:type="dxa"/>
            <w:tcBorders>
              <w:top w:val="dashed" w:sz="4" w:space="0" w:color="auto"/>
            </w:tcBorders>
          </w:tcPr>
          <w:p w:rsidR="003221BA" w:rsidRDefault="003221BA" w:rsidP="005011F6">
            <w:pPr>
              <w:spacing w:after="0" w:line="240" w:lineRule="auto"/>
            </w:pPr>
            <w:r>
              <w:t>Identifier une liaison peptidique</w:t>
            </w:r>
            <w:r w:rsidR="0014280E">
              <w:t>.</w:t>
            </w:r>
          </w:p>
          <w:p w:rsidR="006E3DF8" w:rsidRDefault="006E3DF8" w:rsidP="005011F6">
            <w:pPr>
              <w:spacing w:after="0" w:line="240" w:lineRule="auto"/>
            </w:pPr>
            <w:r>
              <w:t>Ecrire l’équation de la réaction de formation de la liaison peptidique</w:t>
            </w:r>
            <w:r w:rsidR="0014280E">
              <w:t>.</w:t>
            </w:r>
          </w:p>
          <w:p w:rsidR="006E3DF8" w:rsidRDefault="006E3DF8" w:rsidP="005011F6">
            <w:pPr>
              <w:spacing w:after="0" w:line="240" w:lineRule="auto"/>
            </w:pPr>
            <w:r>
              <w:t>Représenter les deux acides</w:t>
            </w:r>
            <w:r>
              <w:rPr>
                <w:rFonts w:cstheme="minorHAnsi"/>
              </w:rPr>
              <w:t xml:space="preserve"> α</w:t>
            </w:r>
            <w:r>
              <w:t>-aminés à utiliser pour synthétiser un dipeptide donné</w:t>
            </w:r>
            <w:r w:rsidR="0014280E">
              <w:t>.</w:t>
            </w:r>
          </w:p>
          <w:p w:rsidR="006E3DF8" w:rsidRPr="00E178D4" w:rsidRDefault="006E3DF8" w:rsidP="005011F6">
            <w:pPr>
              <w:spacing w:after="0" w:line="240" w:lineRule="auto"/>
            </w:pPr>
            <w:r>
              <w:t>Dénombrer tous les dipeptides susceptibles d’être obtenus par condensation de deux acides</w:t>
            </w:r>
            <w:r>
              <w:rPr>
                <w:rFonts w:cstheme="minorHAnsi"/>
              </w:rPr>
              <w:t xml:space="preserve"> α</w:t>
            </w:r>
            <w:r>
              <w:t>-aminés</w:t>
            </w:r>
            <w:r w:rsidR="0014280E">
              <w:t>.</w:t>
            </w:r>
          </w:p>
        </w:tc>
      </w:tr>
      <w:tr w:rsidR="003221BA" w:rsidRPr="00E178D4" w:rsidTr="005011F6">
        <w:trPr>
          <w:trHeight w:val="552"/>
        </w:trPr>
        <w:tc>
          <w:tcPr>
            <w:tcW w:w="4533" w:type="dxa"/>
            <w:tcBorders>
              <w:top w:val="dashed" w:sz="4" w:space="0" w:color="auto"/>
            </w:tcBorders>
          </w:tcPr>
          <w:p w:rsidR="003221BA" w:rsidRDefault="003221BA" w:rsidP="005011F6">
            <w:pPr>
              <w:autoSpaceDE w:val="0"/>
              <w:autoSpaceDN w:val="0"/>
              <w:adjustRightInd w:val="0"/>
              <w:spacing w:after="0" w:line="240" w:lineRule="auto"/>
              <w:rPr>
                <w:rFonts w:cs="Times New Roman"/>
                <w:color w:val="000000"/>
              </w:rPr>
            </w:pPr>
            <w:r>
              <w:rPr>
                <w:rFonts w:cs="Times New Roman"/>
                <w:color w:val="000000"/>
              </w:rPr>
              <w:t>8.4 Les esters</w:t>
            </w:r>
          </w:p>
        </w:tc>
        <w:tc>
          <w:tcPr>
            <w:tcW w:w="4523" w:type="dxa"/>
            <w:tcBorders>
              <w:top w:val="dashed" w:sz="4" w:space="0" w:color="auto"/>
            </w:tcBorders>
          </w:tcPr>
          <w:p w:rsidR="003221BA" w:rsidRDefault="003221BA" w:rsidP="005011F6">
            <w:pPr>
              <w:spacing w:after="0" w:line="240" w:lineRule="auto"/>
            </w:pPr>
            <w:r>
              <w:t>Identifier la fonction ester</w:t>
            </w:r>
            <w:r w:rsidR="0014280E">
              <w:t>.</w:t>
            </w:r>
          </w:p>
          <w:p w:rsidR="003221BA" w:rsidRDefault="0014280E" w:rsidP="005011F6">
            <w:pPr>
              <w:spacing w:after="0" w:line="240" w:lineRule="auto"/>
            </w:pPr>
            <w:r>
              <w:t xml:space="preserve">Déterminer l’acide carboxylique et l’alcool </w:t>
            </w:r>
            <w:r>
              <w:lastRenderedPageBreak/>
              <w:t>nécessaires pour synthétiser un ester et écrire l’équation de la réaction d’estérification correspondante.</w:t>
            </w:r>
          </w:p>
          <w:p w:rsidR="0014280E" w:rsidRDefault="0014280E" w:rsidP="005011F6">
            <w:pPr>
              <w:spacing w:after="0" w:line="240" w:lineRule="auto"/>
            </w:pPr>
            <w:r>
              <w:t>Ecrire l’équation de l’hydrolyse d’un ester donné.</w:t>
            </w:r>
          </w:p>
        </w:tc>
      </w:tr>
      <w:tr w:rsidR="003221BA" w:rsidRPr="00E178D4" w:rsidTr="005011F6">
        <w:trPr>
          <w:trHeight w:val="606"/>
        </w:trPr>
        <w:tc>
          <w:tcPr>
            <w:tcW w:w="9056" w:type="dxa"/>
            <w:gridSpan w:val="2"/>
            <w:tcBorders>
              <w:top w:val="dashed" w:sz="4" w:space="0" w:color="auto"/>
            </w:tcBorders>
          </w:tcPr>
          <w:p w:rsidR="003221BA" w:rsidRPr="007E4B4E" w:rsidRDefault="003221BA" w:rsidP="005011F6">
            <w:pPr>
              <w:spacing w:after="0" w:line="240" w:lineRule="auto"/>
              <w:rPr>
                <w:color w:val="FF0000"/>
              </w:rPr>
            </w:pPr>
            <w:r w:rsidRPr="00E178D4">
              <w:rPr>
                <w:b/>
                <w:color w:val="FF0000"/>
                <w:u w:val="single"/>
              </w:rPr>
              <w:lastRenderedPageBreak/>
              <w:t>Conseils</w:t>
            </w:r>
            <w:r w:rsidRPr="00E178D4">
              <w:rPr>
                <w:b/>
                <w:color w:val="FF0000"/>
              </w:rPr>
              <w:t> :</w:t>
            </w:r>
            <w:r w:rsidRPr="00E178D4">
              <w:rPr>
                <w:color w:val="FF0000"/>
              </w:rPr>
              <w:t xml:space="preserve"> </w:t>
            </w:r>
            <w:r w:rsidR="00FD528F">
              <w:rPr>
                <w:color w:val="FF0000"/>
              </w:rPr>
              <w:t xml:space="preserve">l’enseignant pourra présenter l’ensemble des différents groupes caractéristiques à l’aide de synthèses pour construire une vision structurée de l’ensemble des connaissances. </w:t>
            </w:r>
          </w:p>
        </w:tc>
      </w:tr>
      <w:tr w:rsidR="003221BA" w:rsidRPr="00E178D4" w:rsidTr="00B94393">
        <w:trPr>
          <w:trHeight w:val="64"/>
        </w:trPr>
        <w:tc>
          <w:tcPr>
            <w:tcW w:w="4533" w:type="dxa"/>
            <w:tcBorders>
              <w:bottom w:val="dashed" w:sz="4" w:space="0" w:color="auto"/>
            </w:tcBorders>
          </w:tcPr>
          <w:p w:rsidR="003221BA" w:rsidRPr="002F14FC" w:rsidRDefault="00BB02B5" w:rsidP="005011F6">
            <w:pPr>
              <w:pStyle w:val="Default"/>
              <w:numPr>
                <w:ilvl w:val="0"/>
                <w:numId w:val="10"/>
              </w:numPr>
              <w:rPr>
                <w:rFonts w:asciiTheme="minorHAnsi" w:hAnsiTheme="minorHAnsi"/>
                <w:b/>
                <w:bCs/>
              </w:rPr>
            </w:pPr>
            <w:r>
              <w:rPr>
                <w:rFonts w:asciiTheme="minorHAnsi" w:hAnsiTheme="minorHAnsi"/>
                <w:b/>
                <w:bCs/>
              </w:rPr>
              <w:t>Acides et bases dans les milieux biologiques</w:t>
            </w:r>
          </w:p>
        </w:tc>
        <w:tc>
          <w:tcPr>
            <w:tcW w:w="4523" w:type="dxa"/>
            <w:tcBorders>
              <w:bottom w:val="dashed" w:sz="4" w:space="0" w:color="auto"/>
            </w:tcBorders>
          </w:tcPr>
          <w:p w:rsidR="003221BA" w:rsidRPr="00E178D4" w:rsidRDefault="003221BA" w:rsidP="005011F6">
            <w:pPr>
              <w:spacing w:after="0" w:line="240" w:lineRule="auto"/>
            </w:pPr>
          </w:p>
        </w:tc>
      </w:tr>
      <w:tr w:rsidR="003221BA" w:rsidRPr="00E178D4" w:rsidTr="00B94393">
        <w:trPr>
          <w:trHeight w:val="418"/>
        </w:trPr>
        <w:tc>
          <w:tcPr>
            <w:tcW w:w="4533" w:type="dxa"/>
            <w:tcBorders>
              <w:top w:val="dashed" w:sz="4" w:space="0" w:color="auto"/>
              <w:bottom w:val="dashed" w:sz="4" w:space="0" w:color="auto"/>
            </w:tcBorders>
          </w:tcPr>
          <w:p w:rsidR="003221BA" w:rsidRPr="002F14FC" w:rsidRDefault="00BB02B5" w:rsidP="005011F6">
            <w:pPr>
              <w:autoSpaceDE w:val="0"/>
              <w:autoSpaceDN w:val="0"/>
              <w:adjustRightInd w:val="0"/>
              <w:spacing w:after="0" w:line="240" w:lineRule="auto"/>
              <w:rPr>
                <w:rFonts w:cs="Times New Roman"/>
                <w:color w:val="000000"/>
              </w:rPr>
            </w:pPr>
            <w:r>
              <w:rPr>
                <w:rFonts w:cs="Times New Roman"/>
                <w:color w:val="000000"/>
              </w:rPr>
              <w:t>10.1 Acides faibles et bases faibles en solution aqueuses</w:t>
            </w:r>
          </w:p>
        </w:tc>
        <w:tc>
          <w:tcPr>
            <w:tcW w:w="4523" w:type="dxa"/>
            <w:tcBorders>
              <w:top w:val="dashed" w:sz="4" w:space="0" w:color="auto"/>
              <w:bottom w:val="dashed" w:sz="4" w:space="0" w:color="auto"/>
            </w:tcBorders>
          </w:tcPr>
          <w:p w:rsidR="003221BA" w:rsidRDefault="00BB02B5" w:rsidP="005011F6">
            <w:pPr>
              <w:spacing w:after="0" w:line="240" w:lineRule="auto"/>
            </w:pPr>
            <w:r>
              <w:t>Ecrire l’</w:t>
            </w:r>
            <w:r w:rsidR="00B94393">
              <w:t>é</w:t>
            </w:r>
            <w:r>
              <w:t xml:space="preserve">quation de la réaction entre l’acide faible </w:t>
            </w:r>
            <w:r w:rsidR="00B94393">
              <w:t xml:space="preserve">du couple </w:t>
            </w:r>
            <w:r>
              <w:t>et l’eau</w:t>
            </w:r>
            <w:r w:rsidR="0014280E">
              <w:t>.</w:t>
            </w:r>
          </w:p>
          <w:p w:rsidR="00BB02B5" w:rsidRDefault="00BB02B5" w:rsidP="005011F6">
            <w:pPr>
              <w:spacing w:after="0" w:line="240" w:lineRule="auto"/>
            </w:pPr>
            <w:r>
              <w:t>Ec</w:t>
            </w:r>
            <w:r w:rsidR="00B94393">
              <w:t>r</w:t>
            </w:r>
            <w:r>
              <w:t>ire l’</w:t>
            </w:r>
            <w:r w:rsidR="00B94393">
              <w:t>expression de la con</w:t>
            </w:r>
            <w:r>
              <w:t>stante d’acidité du couple</w:t>
            </w:r>
            <w:r w:rsidR="0014280E">
              <w:t>.</w:t>
            </w:r>
          </w:p>
          <w:p w:rsidR="00BB02B5" w:rsidRPr="00E178D4" w:rsidRDefault="00BB02B5" w:rsidP="005011F6">
            <w:pPr>
              <w:spacing w:after="0" w:line="240" w:lineRule="auto"/>
            </w:pPr>
            <w:r>
              <w:t>Tracer les domaines de prédominance des espèces d’un couple acido-basique</w:t>
            </w:r>
            <w:r w:rsidR="0014280E">
              <w:t>.</w:t>
            </w:r>
          </w:p>
        </w:tc>
      </w:tr>
      <w:tr w:rsidR="00B94393" w:rsidRPr="00E178D4" w:rsidTr="00B94393">
        <w:trPr>
          <w:trHeight w:val="887"/>
        </w:trPr>
        <w:tc>
          <w:tcPr>
            <w:tcW w:w="4533" w:type="dxa"/>
            <w:tcBorders>
              <w:top w:val="dashed" w:sz="4" w:space="0" w:color="auto"/>
            </w:tcBorders>
          </w:tcPr>
          <w:p w:rsidR="00B94393" w:rsidRPr="00E178D4" w:rsidRDefault="00B94393" w:rsidP="005011F6">
            <w:pPr>
              <w:pStyle w:val="Default"/>
              <w:rPr>
                <w:rFonts w:asciiTheme="minorHAnsi" w:hAnsiTheme="minorHAnsi" w:cs="Times New Roman"/>
              </w:rPr>
            </w:pPr>
            <w:r>
              <w:rPr>
                <w:rFonts w:asciiTheme="minorHAnsi" w:hAnsiTheme="minorHAnsi"/>
              </w:rPr>
              <w:t>10.2 Saponification</w:t>
            </w:r>
          </w:p>
        </w:tc>
        <w:tc>
          <w:tcPr>
            <w:tcW w:w="4523" w:type="dxa"/>
            <w:tcBorders>
              <w:top w:val="dashed" w:sz="4" w:space="0" w:color="auto"/>
            </w:tcBorders>
          </w:tcPr>
          <w:p w:rsidR="00B94393" w:rsidRDefault="00B94393" w:rsidP="005011F6">
            <w:pPr>
              <w:spacing w:after="0" w:line="240" w:lineRule="auto"/>
            </w:pPr>
            <w:r>
              <w:t>Reconnaitre ou écrire une équation de réaction de saponification</w:t>
            </w:r>
            <w:r w:rsidR="0014280E">
              <w:t>.</w:t>
            </w:r>
          </w:p>
          <w:p w:rsidR="00B94393" w:rsidRDefault="0014280E" w:rsidP="005011F6">
            <w:pPr>
              <w:spacing w:after="0" w:line="240" w:lineRule="auto"/>
            </w:pPr>
            <w:r>
              <w:t>Savoir qu’une</w:t>
            </w:r>
            <w:r w:rsidR="00B94393">
              <w:t xml:space="preserve"> réaction de saponification</w:t>
            </w:r>
            <w:r>
              <w:t xml:space="preserve"> est totale.</w:t>
            </w:r>
          </w:p>
          <w:p w:rsidR="00B94393" w:rsidRPr="00E178D4" w:rsidRDefault="00B94393" w:rsidP="005011F6">
            <w:pPr>
              <w:spacing w:after="0" w:line="240" w:lineRule="auto"/>
            </w:pPr>
            <w:r>
              <w:t xml:space="preserve">Identifier le pôle hydrophile et hydrophobe </w:t>
            </w:r>
            <w:r w:rsidR="000C3ECB">
              <w:t>de molécules de savons engagées dans une micelle ou un liposome</w:t>
            </w:r>
            <w:r w:rsidR="0014280E">
              <w:t>.</w:t>
            </w:r>
          </w:p>
        </w:tc>
      </w:tr>
      <w:tr w:rsidR="00B94393" w:rsidRPr="00E178D4" w:rsidTr="00C422E0">
        <w:trPr>
          <w:trHeight w:val="71"/>
        </w:trPr>
        <w:tc>
          <w:tcPr>
            <w:tcW w:w="9056" w:type="dxa"/>
            <w:gridSpan w:val="2"/>
            <w:tcBorders>
              <w:top w:val="dashed" w:sz="4" w:space="0" w:color="auto"/>
            </w:tcBorders>
          </w:tcPr>
          <w:p w:rsidR="00B94393" w:rsidRPr="000C3ECB" w:rsidRDefault="00B94393" w:rsidP="005011F6">
            <w:pPr>
              <w:spacing w:after="0" w:line="240" w:lineRule="auto"/>
              <w:rPr>
                <w:bCs/>
              </w:rPr>
            </w:pPr>
            <w:r w:rsidRPr="006A7EB8">
              <w:rPr>
                <w:b/>
                <w:color w:val="FF0000"/>
                <w:u w:val="single"/>
              </w:rPr>
              <w:t>Conseil</w:t>
            </w:r>
            <w:r w:rsidR="0024336C">
              <w:rPr>
                <w:b/>
                <w:color w:val="FF0000"/>
                <w:u w:val="single"/>
              </w:rPr>
              <w:t>s</w:t>
            </w:r>
            <w:r w:rsidR="005011F6">
              <w:rPr>
                <w:color w:val="FF0000"/>
              </w:rPr>
              <w:t> : l</w:t>
            </w:r>
            <w:r w:rsidRPr="000C3ECB">
              <w:rPr>
                <w:color w:val="FF0000"/>
              </w:rPr>
              <w:t xml:space="preserve">’introduction des notions à partir d’exemples concrets </w:t>
            </w:r>
            <w:r w:rsidR="000C3ECB" w:rsidRPr="000C3ECB">
              <w:rPr>
                <w:color w:val="FF0000"/>
              </w:rPr>
              <w:t>permet ici avantageusement de donner du sens tout en ciblant les priorités choisies.</w:t>
            </w:r>
          </w:p>
        </w:tc>
      </w:tr>
      <w:tr w:rsidR="00B94393" w:rsidRPr="00E178D4" w:rsidTr="005011F6">
        <w:trPr>
          <w:trHeight w:val="308"/>
        </w:trPr>
        <w:tc>
          <w:tcPr>
            <w:tcW w:w="4533" w:type="dxa"/>
            <w:tcBorders>
              <w:bottom w:val="dashed" w:sz="4" w:space="0" w:color="auto"/>
            </w:tcBorders>
          </w:tcPr>
          <w:p w:rsidR="00B94393" w:rsidRPr="000C3ECB" w:rsidRDefault="000C3ECB" w:rsidP="005011F6">
            <w:pPr>
              <w:pStyle w:val="Default"/>
              <w:numPr>
                <w:ilvl w:val="0"/>
                <w:numId w:val="11"/>
              </w:numPr>
              <w:rPr>
                <w:rFonts w:asciiTheme="minorHAnsi" w:hAnsiTheme="minorHAnsi" w:cs="Times New Roman"/>
                <w:b/>
              </w:rPr>
            </w:pPr>
            <w:r w:rsidRPr="000C3ECB">
              <w:rPr>
                <w:rFonts w:asciiTheme="minorHAnsi" w:hAnsiTheme="minorHAnsi" w:cs="Times New Roman"/>
                <w:b/>
              </w:rPr>
              <w:t>Solutions aqueuses antis</w:t>
            </w:r>
            <w:r>
              <w:rPr>
                <w:rFonts w:asciiTheme="minorHAnsi" w:hAnsiTheme="minorHAnsi" w:cs="Times New Roman"/>
                <w:b/>
              </w:rPr>
              <w:t>ep</w:t>
            </w:r>
            <w:r w:rsidRPr="000C3ECB">
              <w:rPr>
                <w:rFonts w:asciiTheme="minorHAnsi" w:hAnsiTheme="minorHAnsi" w:cs="Times New Roman"/>
                <w:b/>
              </w:rPr>
              <w:t>tiques</w:t>
            </w:r>
          </w:p>
        </w:tc>
        <w:tc>
          <w:tcPr>
            <w:tcW w:w="4523" w:type="dxa"/>
            <w:tcBorders>
              <w:bottom w:val="dashed" w:sz="4" w:space="0" w:color="auto"/>
            </w:tcBorders>
          </w:tcPr>
          <w:p w:rsidR="00B94393" w:rsidRPr="00E178D4" w:rsidRDefault="00B94393" w:rsidP="005011F6">
            <w:pPr>
              <w:spacing w:after="0" w:line="240" w:lineRule="auto"/>
            </w:pPr>
          </w:p>
        </w:tc>
      </w:tr>
      <w:tr w:rsidR="00B94393" w:rsidRPr="00E178D4" w:rsidTr="00B94393">
        <w:trPr>
          <w:trHeight w:val="450"/>
        </w:trPr>
        <w:tc>
          <w:tcPr>
            <w:tcW w:w="4533" w:type="dxa"/>
            <w:tcBorders>
              <w:top w:val="dashed" w:sz="4" w:space="0" w:color="auto"/>
              <w:bottom w:val="dashed" w:sz="4" w:space="0" w:color="auto"/>
            </w:tcBorders>
          </w:tcPr>
          <w:p w:rsidR="00B94393" w:rsidRPr="00B11754" w:rsidRDefault="000C3ECB" w:rsidP="005011F6">
            <w:pPr>
              <w:autoSpaceDE w:val="0"/>
              <w:autoSpaceDN w:val="0"/>
              <w:adjustRightInd w:val="0"/>
              <w:spacing w:after="0" w:line="240" w:lineRule="auto"/>
              <w:rPr>
                <w:rFonts w:cs="Times New Roman"/>
                <w:color w:val="000000"/>
              </w:rPr>
            </w:pPr>
            <w:r>
              <w:rPr>
                <w:rFonts w:cs="Times New Roman"/>
                <w:color w:val="000000"/>
              </w:rPr>
              <w:t>12.1 Oxydoréduction en chimie organique</w:t>
            </w:r>
          </w:p>
        </w:tc>
        <w:tc>
          <w:tcPr>
            <w:tcW w:w="4523" w:type="dxa"/>
            <w:tcBorders>
              <w:top w:val="dashed" w:sz="4" w:space="0" w:color="auto"/>
              <w:bottom w:val="dashed" w:sz="4" w:space="0" w:color="auto"/>
            </w:tcBorders>
          </w:tcPr>
          <w:p w:rsidR="00B94393" w:rsidRDefault="000C3ECB" w:rsidP="005011F6">
            <w:pPr>
              <w:spacing w:after="0" w:line="240" w:lineRule="auto"/>
            </w:pPr>
            <w:r>
              <w:t>Connaitre et identifier au sein d’une molécule donnée, les groupes caractéristiques des différentes classes d’alcool, d’un aldéhyde ou d’une cétone</w:t>
            </w:r>
            <w:r w:rsidR="0014280E">
              <w:t>.</w:t>
            </w:r>
          </w:p>
          <w:p w:rsidR="000C3ECB" w:rsidRDefault="00A3282D" w:rsidP="005011F6">
            <w:pPr>
              <w:spacing w:after="0" w:line="240" w:lineRule="auto"/>
            </w:pPr>
            <w:r>
              <w:t>Connaitre les produits de l’oxydation des différentes classe d’alcool et d’un aldéhyde</w:t>
            </w:r>
            <w:r w:rsidR="0014280E">
              <w:t>.</w:t>
            </w:r>
          </w:p>
          <w:p w:rsidR="00A3282D" w:rsidRPr="00E178D4" w:rsidRDefault="00A3282D" w:rsidP="005011F6">
            <w:pPr>
              <w:spacing w:after="0" w:line="240" w:lineRule="auto"/>
            </w:pPr>
            <w:r>
              <w:t>Ecrire l’équation d’une réaction d’oxydation d’un alcool, les demi-équations correspondantes étant données</w:t>
            </w:r>
            <w:r w:rsidR="0014280E">
              <w:t>.</w:t>
            </w:r>
          </w:p>
        </w:tc>
      </w:tr>
      <w:tr w:rsidR="00B94393" w:rsidRPr="00E178D4" w:rsidTr="00B94393">
        <w:trPr>
          <w:trHeight w:val="720"/>
        </w:trPr>
        <w:tc>
          <w:tcPr>
            <w:tcW w:w="4533" w:type="dxa"/>
            <w:tcBorders>
              <w:top w:val="dashed" w:sz="4" w:space="0" w:color="auto"/>
              <w:bottom w:val="dashed" w:sz="4" w:space="0" w:color="auto"/>
            </w:tcBorders>
          </w:tcPr>
          <w:p w:rsidR="00B94393" w:rsidRPr="00E178D4" w:rsidRDefault="00A3282D" w:rsidP="005011F6">
            <w:pPr>
              <w:pStyle w:val="Default"/>
              <w:rPr>
                <w:rFonts w:asciiTheme="minorHAnsi" w:hAnsiTheme="minorHAnsi"/>
              </w:rPr>
            </w:pPr>
            <w:r>
              <w:rPr>
                <w:rFonts w:asciiTheme="minorHAnsi" w:hAnsiTheme="minorHAnsi"/>
              </w:rPr>
              <w:t>12.2 Dosages d’oxydoréduction</w:t>
            </w:r>
          </w:p>
        </w:tc>
        <w:tc>
          <w:tcPr>
            <w:tcW w:w="4523" w:type="dxa"/>
            <w:tcBorders>
              <w:top w:val="dashed" w:sz="4" w:space="0" w:color="auto"/>
              <w:bottom w:val="dashed" w:sz="4" w:space="0" w:color="auto"/>
            </w:tcBorders>
          </w:tcPr>
          <w:p w:rsidR="00B94393" w:rsidRDefault="00A3282D" w:rsidP="005011F6">
            <w:pPr>
              <w:spacing w:after="0" w:line="240" w:lineRule="auto"/>
            </w:pPr>
            <w:r>
              <w:t>Annoter le schéma d’un dispositif expérimental de dosage</w:t>
            </w:r>
            <w:r w:rsidR="0014280E">
              <w:t>.</w:t>
            </w:r>
          </w:p>
          <w:p w:rsidR="00A3282D" w:rsidRDefault="00A3282D" w:rsidP="005011F6">
            <w:pPr>
              <w:spacing w:after="0" w:line="240" w:lineRule="auto"/>
            </w:pPr>
            <w:r>
              <w:t>Ecrire la relation à l’équivalence, l’équation de la réaction de dosage étant fournie.</w:t>
            </w:r>
          </w:p>
          <w:p w:rsidR="00A3282D" w:rsidRPr="00E178D4" w:rsidRDefault="00A3282D" w:rsidP="005011F6">
            <w:pPr>
              <w:spacing w:after="0" w:line="240" w:lineRule="auto"/>
            </w:pPr>
            <w:r>
              <w:t>Déterminer la concentration en quantité de matière de la solution dosée.</w:t>
            </w:r>
          </w:p>
        </w:tc>
      </w:tr>
      <w:tr w:rsidR="00B94393" w:rsidRPr="00E178D4" w:rsidTr="00C422E0">
        <w:trPr>
          <w:trHeight w:val="945"/>
        </w:trPr>
        <w:tc>
          <w:tcPr>
            <w:tcW w:w="9056" w:type="dxa"/>
            <w:gridSpan w:val="2"/>
          </w:tcPr>
          <w:p w:rsidR="00B94393" w:rsidRPr="00A3282D" w:rsidRDefault="00B94393" w:rsidP="005011F6">
            <w:pPr>
              <w:spacing w:after="0" w:line="240" w:lineRule="auto"/>
              <w:rPr>
                <w:b/>
                <w:color w:val="FF0000"/>
                <w:u w:val="single"/>
              </w:rPr>
            </w:pPr>
            <w:r>
              <w:rPr>
                <w:b/>
                <w:color w:val="FF0000"/>
                <w:u w:val="single"/>
              </w:rPr>
              <w:t>Conseil</w:t>
            </w:r>
            <w:r w:rsidR="0024336C">
              <w:rPr>
                <w:b/>
                <w:color w:val="FF0000"/>
                <w:u w:val="single"/>
              </w:rPr>
              <w:t>s</w:t>
            </w:r>
            <w:r w:rsidR="006A7EB8">
              <w:rPr>
                <w:b/>
                <w:color w:val="FF0000"/>
                <w:u w:val="single"/>
              </w:rPr>
              <w:t> </w:t>
            </w:r>
            <w:r w:rsidR="006A7EB8" w:rsidRPr="006A7EB8">
              <w:rPr>
                <w:b/>
                <w:color w:val="FF0000"/>
              </w:rPr>
              <w:t xml:space="preserve">: </w:t>
            </w:r>
            <w:r w:rsidR="005011F6">
              <w:rPr>
                <w:color w:val="FF0000"/>
              </w:rPr>
              <w:t>s</w:t>
            </w:r>
            <w:r w:rsidR="00B6122F" w:rsidRPr="00B6122F">
              <w:rPr>
                <w:color w:val="FF0000"/>
              </w:rPr>
              <w:t>ans forcément mettre en œuvre de protocoles, la dimension expérimentale essentielle dans cette partie peut être conservée en s’appuyant sur</w:t>
            </w:r>
            <w:r w:rsidR="00B6122F" w:rsidRPr="00B6122F">
              <w:rPr>
                <w:b/>
                <w:color w:val="FF0000"/>
              </w:rPr>
              <w:t xml:space="preserve"> </w:t>
            </w:r>
            <w:r w:rsidR="00C33BC3" w:rsidRPr="006A7EB8">
              <w:rPr>
                <w:color w:val="FF0000"/>
              </w:rPr>
              <w:t>des vidéos d’expérience</w:t>
            </w:r>
            <w:r w:rsidR="00964845">
              <w:rPr>
                <w:color w:val="FF0000"/>
              </w:rPr>
              <w:t>. L’enseignant peut les</w:t>
            </w:r>
            <w:r w:rsidR="00C33BC3" w:rsidRPr="006A7EB8">
              <w:rPr>
                <w:color w:val="FF0000"/>
              </w:rPr>
              <w:t xml:space="preserve"> exploit</w:t>
            </w:r>
            <w:r w:rsidR="00EA403A">
              <w:rPr>
                <w:color w:val="FF0000"/>
              </w:rPr>
              <w:t>er</w:t>
            </w:r>
            <w:r w:rsidR="00C33BC3" w:rsidRPr="006A7EB8">
              <w:rPr>
                <w:color w:val="FF0000"/>
              </w:rPr>
              <w:t xml:space="preserve"> pour mettre en évidence les notions introduites et/ou faire exploiter</w:t>
            </w:r>
            <w:r w:rsidR="00964845">
              <w:rPr>
                <w:color w:val="FF0000"/>
              </w:rPr>
              <w:t xml:space="preserve"> </w:t>
            </w:r>
            <w:r w:rsidR="00964845" w:rsidRPr="006A7EB8">
              <w:rPr>
                <w:color w:val="FF0000"/>
              </w:rPr>
              <w:t xml:space="preserve">par les élèves </w:t>
            </w:r>
            <w:r w:rsidR="00C33BC3" w:rsidRPr="006A7EB8">
              <w:rPr>
                <w:color w:val="FF0000"/>
              </w:rPr>
              <w:t xml:space="preserve">un résultat </w:t>
            </w:r>
            <w:r w:rsidR="00964845">
              <w:rPr>
                <w:color w:val="FF0000"/>
              </w:rPr>
              <w:t>expérimental</w:t>
            </w:r>
            <w:r w:rsidR="00C33BC3" w:rsidRPr="006A7EB8">
              <w:rPr>
                <w:color w:val="FF0000"/>
              </w:rPr>
              <w:t xml:space="preserve"> </w:t>
            </w:r>
            <w:r w:rsidR="00964845">
              <w:rPr>
                <w:color w:val="FF0000"/>
              </w:rPr>
              <w:t>fourni.</w:t>
            </w:r>
          </w:p>
        </w:tc>
      </w:tr>
    </w:tbl>
    <w:p w:rsidR="003221BA" w:rsidRDefault="003221BA" w:rsidP="0024336C">
      <w:pPr>
        <w:spacing w:line="240" w:lineRule="auto"/>
      </w:pPr>
    </w:p>
    <w:sectPr w:rsidR="003221BA" w:rsidSect="004E35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392" w:rsidRDefault="00637392" w:rsidP="006A0505">
      <w:pPr>
        <w:spacing w:after="0" w:line="240" w:lineRule="auto"/>
      </w:pPr>
      <w:r>
        <w:separator/>
      </w:r>
    </w:p>
  </w:endnote>
  <w:endnote w:type="continuationSeparator" w:id="0">
    <w:p w:rsidR="00637392" w:rsidRDefault="00637392" w:rsidP="006A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98590"/>
      <w:docPartObj>
        <w:docPartGallery w:val="Page Numbers (Bottom of Page)"/>
        <w:docPartUnique/>
      </w:docPartObj>
    </w:sdtPr>
    <w:sdtEndPr/>
    <w:sdtContent>
      <w:p w:rsidR="006A0505" w:rsidRDefault="006A0505">
        <w:pPr>
          <w:pStyle w:val="Pieddepage"/>
          <w:jc w:val="center"/>
        </w:pPr>
        <w:r>
          <w:fldChar w:fldCharType="begin"/>
        </w:r>
        <w:r>
          <w:instrText>PAGE   \* MERGEFORMAT</w:instrText>
        </w:r>
        <w:r>
          <w:fldChar w:fldCharType="separate"/>
        </w:r>
        <w:r w:rsidR="009E7233">
          <w:rPr>
            <w:noProof/>
          </w:rPr>
          <w:t>1</w:t>
        </w:r>
        <w:r>
          <w:fldChar w:fldCharType="end"/>
        </w:r>
      </w:p>
    </w:sdtContent>
  </w:sdt>
  <w:p w:rsidR="006A0505" w:rsidRDefault="006A050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392" w:rsidRDefault="00637392" w:rsidP="006A0505">
      <w:pPr>
        <w:spacing w:after="0" w:line="240" w:lineRule="auto"/>
      </w:pPr>
      <w:r>
        <w:separator/>
      </w:r>
    </w:p>
  </w:footnote>
  <w:footnote w:type="continuationSeparator" w:id="0">
    <w:p w:rsidR="00637392" w:rsidRDefault="00637392" w:rsidP="006A0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797"/>
    <w:multiLevelType w:val="hybridMultilevel"/>
    <w:tmpl w:val="94D8BC2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4B86874"/>
    <w:multiLevelType w:val="hybridMultilevel"/>
    <w:tmpl w:val="1152EC28"/>
    <w:lvl w:ilvl="0" w:tplc="6470A1AE">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D96102"/>
    <w:multiLevelType w:val="hybridMultilevel"/>
    <w:tmpl w:val="8B0CDE6C"/>
    <w:lvl w:ilvl="0" w:tplc="D1A0758E">
      <w:start w:val="10"/>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A3470F"/>
    <w:multiLevelType w:val="hybridMultilevel"/>
    <w:tmpl w:val="1152EC28"/>
    <w:lvl w:ilvl="0" w:tplc="6470A1AE">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2010E0"/>
    <w:multiLevelType w:val="hybridMultilevel"/>
    <w:tmpl w:val="E6969CD4"/>
    <w:lvl w:ilvl="0" w:tplc="17129622">
      <w:start w:val="1"/>
      <w:numFmt w:val="upperLetter"/>
      <w:lvlText w:val="%1)"/>
      <w:lvlJc w:val="left"/>
      <w:pPr>
        <w:ind w:left="360" w:hanging="360"/>
      </w:pPr>
      <w:rPr>
        <w:rFonts w:ascii="Arial" w:hAnsi="Arial" w:cs="Arial" w:hint="default"/>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E12579C"/>
    <w:multiLevelType w:val="hybridMultilevel"/>
    <w:tmpl w:val="70F8564A"/>
    <w:lvl w:ilvl="0" w:tplc="C6147AD2">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1242FF"/>
    <w:multiLevelType w:val="hybridMultilevel"/>
    <w:tmpl w:val="F14C8DB4"/>
    <w:lvl w:ilvl="0" w:tplc="1F7C61EA">
      <w:start w:val="1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E175D0"/>
    <w:multiLevelType w:val="hybridMultilevel"/>
    <w:tmpl w:val="979E22C6"/>
    <w:lvl w:ilvl="0" w:tplc="14CC5ABE">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5716F58"/>
    <w:multiLevelType w:val="hybridMultilevel"/>
    <w:tmpl w:val="B7C0E21C"/>
    <w:lvl w:ilvl="0" w:tplc="6470A1AE">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573193"/>
    <w:multiLevelType w:val="hybridMultilevel"/>
    <w:tmpl w:val="0C1E2A0E"/>
    <w:lvl w:ilvl="0" w:tplc="7B9EC570">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8105519"/>
    <w:multiLevelType w:val="hybridMultilevel"/>
    <w:tmpl w:val="D1CAE2DC"/>
    <w:lvl w:ilvl="0" w:tplc="731ED108">
      <w:start w:val="1"/>
      <w:numFmt w:val="decimal"/>
      <w:lvlText w:val="%1."/>
      <w:lvlJc w:val="left"/>
      <w:pPr>
        <w:ind w:left="360" w:hanging="360"/>
      </w:pPr>
      <w:rPr>
        <w:rFonts w:hint="default"/>
        <w:b/>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0"/>
  </w:num>
  <w:num w:numId="3">
    <w:abstractNumId w:val="7"/>
  </w:num>
  <w:num w:numId="4">
    <w:abstractNumId w:val="9"/>
  </w:num>
  <w:num w:numId="5">
    <w:abstractNumId w:val="4"/>
  </w:num>
  <w:num w:numId="6">
    <w:abstractNumId w:val="5"/>
  </w:num>
  <w:num w:numId="7">
    <w:abstractNumId w:val="3"/>
  </w:num>
  <w:num w:numId="8">
    <w:abstractNumId w:val="1"/>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AF"/>
    <w:rsid w:val="00051C32"/>
    <w:rsid w:val="000C3ECB"/>
    <w:rsid w:val="0014280E"/>
    <w:rsid w:val="001A11C0"/>
    <w:rsid w:val="0024336C"/>
    <w:rsid w:val="002F14FC"/>
    <w:rsid w:val="003221BA"/>
    <w:rsid w:val="00462347"/>
    <w:rsid w:val="004E35D6"/>
    <w:rsid w:val="005011F6"/>
    <w:rsid w:val="005F24C9"/>
    <w:rsid w:val="00637392"/>
    <w:rsid w:val="00680044"/>
    <w:rsid w:val="006A0505"/>
    <w:rsid w:val="006A7EB8"/>
    <w:rsid w:val="006C67F5"/>
    <w:rsid w:val="006E3DF8"/>
    <w:rsid w:val="0073649A"/>
    <w:rsid w:val="008440AF"/>
    <w:rsid w:val="00964845"/>
    <w:rsid w:val="009E7233"/>
    <w:rsid w:val="00A3282D"/>
    <w:rsid w:val="00B11754"/>
    <w:rsid w:val="00B6122F"/>
    <w:rsid w:val="00B94393"/>
    <w:rsid w:val="00BB02B5"/>
    <w:rsid w:val="00C00AB4"/>
    <w:rsid w:val="00C33BC3"/>
    <w:rsid w:val="00C422E0"/>
    <w:rsid w:val="00DC4483"/>
    <w:rsid w:val="00E64906"/>
    <w:rsid w:val="00EA403A"/>
    <w:rsid w:val="00F21FDE"/>
    <w:rsid w:val="00FD528F"/>
    <w:rsid w:val="00FF42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0DF0D-C7A7-4EEA-B1C9-DA7EE593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0AF"/>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440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440AF"/>
    <w:pPr>
      <w:ind w:left="720"/>
      <w:contextualSpacing/>
    </w:pPr>
  </w:style>
  <w:style w:type="paragraph" w:customStyle="1" w:styleId="Default">
    <w:name w:val="Default"/>
    <w:rsid w:val="008440AF"/>
    <w:pPr>
      <w:autoSpaceDE w:val="0"/>
      <w:autoSpaceDN w:val="0"/>
      <w:adjustRightInd w:val="0"/>
    </w:pPr>
    <w:rPr>
      <w:rFonts w:ascii="Arial" w:hAnsi="Arial" w:cs="Arial"/>
      <w:color w:val="000000"/>
    </w:rPr>
  </w:style>
  <w:style w:type="paragraph" w:styleId="Textedebulles">
    <w:name w:val="Balloon Text"/>
    <w:basedOn w:val="Normal"/>
    <w:link w:val="TextedebullesCar"/>
    <w:uiPriority w:val="99"/>
    <w:semiHidden/>
    <w:unhideWhenUsed/>
    <w:rsid w:val="00BB02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02B5"/>
    <w:rPr>
      <w:rFonts w:ascii="Segoe UI" w:hAnsi="Segoe UI" w:cs="Segoe UI"/>
      <w:sz w:val="18"/>
      <w:szCs w:val="18"/>
    </w:rPr>
  </w:style>
  <w:style w:type="paragraph" w:styleId="Rvision">
    <w:name w:val="Revision"/>
    <w:hidden/>
    <w:uiPriority w:val="99"/>
    <w:semiHidden/>
    <w:rsid w:val="00B94393"/>
    <w:rPr>
      <w:sz w:val="22"/>
      <w:szCs w:val="22"/>
    </w:rPr>
  </w:style>
  <w:style w:type="paragraph" w:styleId="En-tte">
    <w:name w:val="header"/>
    <w:basedOn w:val="Normal"/>
    <w:link w:val="En-tteCar"/>
    <w:uiPriority w:val="99"/>
    <w:unhideWhenUsed/>
    <w:rsid w:val="006A0505"/>
    <w:pPr>
      <w:tabs>
        <w:tab w:val="center" w:pos="4536"/>
        <w:tab w:val="right" w:pos="9072"/>
      </w:tabs>
      <w:spacing w:after="0" w:line="240" w:lineRule="auto"/>
    </w:pPr>
  </w:style>
  <w:style w:type="character" w:customStyle="1" w:styleId="En-tteCar">
    <w:name w:val="En-tête Car"/>
    <w:basedOn w:val="Policepardfaut"/>
    <w:link w:val="En-tte"/>
    <w:uiPriority w:val="99"/>
    <w:rsid w:val="006A0505"/>
    <w:rPr>
      <w:sz w:val="22"/>
      <w:szCs w:val="22"/>
    </w:rPr>
  </w:style>
  <w:style w:type="paragraph" w:styleId="Pieddepage">
    <w:name w:val="footer"/>
    <w:basedOn w:val="Normal"/>
    <w:link w:val="PieddepageCar"/>
    <w:uiPriority w:val="99"/>
    <w:unhideWhenUsed/>
    <w:rsid w:val="006A05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5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1061</Words>
  <Characters>5838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Francois Vandenbrouck</dc:creator>
  <cp:lastModifiedBy>jacques.royer@ac-nantes.fr</cp:lastModifiedBy>
  <cp:revision>6</cp:revision>
  <dcterms:created xsi:type="dcterms:W3CDTF">2020-04-28T17:53:00Z</dcterms:created>
  <dcterms:modified xsi:type="dcterms:W3CDTF">2020-05-18T07:25:00Z</dcterms:modified>
</cp:coreProperties>
</file>