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957" w:rsidRDefault="00377957">
      <w:bookmarkStart w:id="0" w:name="_GoBack"/>
      <w:bookmarkEnd w:id="0"/>
      <w:r>
        <w:rPr>
          <w:b/>
        </w:rPr>
        <w:t>Objet d’étude</w:t>
      </w:r>
      <w:r>
        <w:t xml:space="preserve">  / La parole en spectacle</w:t>
      </w:r>
    </w:p>
    <w:p w:rsidR="00377957" w:rsidRDefault="00377957">
      <w:r>
        <w:rPr>
          <w:b/>
        </w:rPr>
        <w:t>Séquence centrée sur un groupement de textes sur les « plateaux de télévision » </w:t>
      </w:r>
    </w:p>
    <w:p w:rsidR="00377957" w:rsidRDefault="00377957">
      <w:r>
        <w:rPr>
          <w:b/>
        </w:rPr>
        <w:t>Problématique</w:t>
      </w:r>
      <w:r>
        <w:t xml:space="preserve"> / comment et pour quoi l’information, à la télévision, en particulier dans les talk shows, est-elle mise en spectacle?</w:t>
      </w:r>
    </w:p>
    <w:p w:rsidR="00377957" w:rsidRDefault="00377957"/>
    <w:p w:rsidR="00377957" w:rsidRDefault="003779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7957">
        <w:tc>
          <w:tcPr>
            <w:tcW w:w="4606" w:type="dxa"/>
          </w:tcPr>
          <w:p w:rsidR="00377957" w:rsidRDefault="00377957">
            <w:pPr>
              <w:jc w:val="center"/>
              <w:rPr>
                <w:b/>
                <w:sz w:val="24"/>
              </w:rPr>
            </w:pPr>
            <w:r>
              <w:rPr>
                <w:b/>
                <w:sz w:val="24"/>
              </w:rPr>
              <w:t>Déroulé de séquence</w:t>
            </w:r>
          </w:p>
        </w:tc>
        <w:tc>
          <w:tcPr>
            <w:tcW w:w="4606" w:type="dxa"/>
          </w:tcPr>
          <w:p w:rsidR="00377957" w:rsidRDefault="00377957">
            <w:pPr>
              <w:jc w:val="center"/>
              <w:rPr>
                <w:b/>
                <w:sz w:val="24"/>
              </w:rPr>
            </w:pPr>
            <w:r>
              <w:rPr>
                <w:b/>
                <w:sz w:val="24"/>
              </w:rPr>
              <w:t>Renvoi aux I.O.</w:t>
            </w:r>
          </w:p>
        </w:tc>
      </w:tr>
      <w:tr w:rsidR="00377957">
        <w:tc>
          <w:tcPr>
            <w:tcW w:w="4606" w:type="dxa"/>
          </w:tcPr>
          <w:p w:rsidR="00377957" w:rsidRDefault="00377957">
            <w:r>
              <w:t>Séance 1 d’accroche (dominante oral)</w:t>
            </w:r>
          </w:p>
          <w:p w:rsidR="00377957" w:rsidRDefault="00377957"/>
          <w:p w:rsidR="00377957" w:rsidRDefault="00377957">
            <w:pPr>
              <w:numPr>
                <w:ilvl w:val="0"/>
                <w:numId w:val="5"/>
              </w:numPr>
            </w:pPr>
            <w:r>
              <w:t xml:space="preserve">brève du journal Sud Ouest du 26 août 2011 </w:t>
            </w:r>
          </w:p>
          <w:p w:rsidR="00760D96" w:rsidRDefault="00377957" w:rsidP="00760D96">
            <w:pPr>
              <w:numPr>
                <w:ilvl w:val="0"/>
                <w:numId w:val="5"/>
              </w:numPr>
            </w:pPr>
            <w:r>
              <w:t xml:space="preserve">lecture de la transcription d’un extrait d’un talk show, </w:t>
            </w:r>
            <w:r>
              <w:rPr>
                <w:i/>
              </w:rPr>
              <w:t>On n’est pas couché</w:t>
            </w:r>
            <w:r>
              <w:t xml:space="preserve">,  sans autre indication que les paroles prononcées sur le plateau.  </w:t>
            </w:r>
          </w:p>
          <w:p w:rsidR="00760D96" w:rsidRPr="00760D96" w:rsidRDefault="00377957" w:rsidP="00760D96">
            <w:pPr>
              <w:pStyle w:val="NormalWeb"/>
              <w:spacing w:before="0" w:beforeAutospacing="0" w:after="0" w:afterAutospacing="0"/>
              <w:rPr>
                <w:sz w:val="20"/>
                <w:szCs w:val="20"/>
              </w:rPr>
            </w:pPr>
            <w:r>
              <w:t xml:space="preserve"> </w:t>
            </w:r>
          </w:p>
          <w:p w:rsidR="00377957" w:rsidRDefault="00377957"/>
          <w:p w:rsidR="00377957" w:rsidRDefault="00377957"/>
          <w:p w:rsidR="00377957" w:rsidRDefault="00377957">
            <w:r>
              <w:rPr>
                <w:b/>
              </w:rPr>
              <w:t>Activités élèves</w:t>
            </w:r>
            <w:r>
              <w:t xml:space="preserve"> : </w:t>
            </w:r>
          </w:p>
          <w:p w:rsidR="00377957" w:rsidRDefault="00377957">
            <w:r>
              <w:t xml:space="preserve">1) pourquoi moderniser le plateau des J. T. ? </w:t>
            </w:r>
          </w:p>
          <w:p w:rsidR="00377957" w:rsidRDefault="00377957">
            <w:r>
              <w:t xml:space="preserve">2) en s’appuyant sur sa connaissance de la télévision, faire des propositions de mise en scène de la parole. Mise en commun des réponses. </w:t>
            </w:r>
          </w:p>
          <w:p w:rsidR="00377957" w:rsidRDefault="00377957"/>
        </w:tc>
        <w:tc>
          <w:tcPr>
            <w:tcW w:w="4606" w:type="dxa"/>
          </w:tcPr>
          <w:p w:rsidR="00377957" w:rsidRDefault="00377957">
            <w:r>
              <w:t>Périodes : XX°-XX° siècles.</w:t>
            </w:r>
          </w:p>
          <w:p w:rsidR="00377957" w:rsidRDefault="00377957"/>
          <w:p w:rsidR="00377957" w:rsidRDefault="00377957">
            <w:r>
              <w:t xml:space="preserve">Les mises en scène de la parole (plateaux de télévision) </w:t>
            </w:r>
          </w:p>
        </w:tc>
      </w:tr>
      <w:tr w:rsidR="00377957">
        <w:tc>
          <w:tcPr>
            <w:tcW w:w="4606" w:type="dxa"/>
          </w:tcPr>
          <w:p w:rsidR="00377957" w:rsidRDefault="00377957">
            <w:r>
              <w:rPr>
                <w:b/>
              </w:rPr>
              <w:t>Séance 2 (dominante lecture)</w:t>
            </w:r>
            <w:r>
              <w:t xml:space="preserve"> </w:t>
            </w:r>
          </w:p>
          <w:p w:rsidR="00377957" w:rsidRDefault="00377957">
            <w:r>
              <w:t>3 textes :</w:t>
            </w:r>
          </w:p>
          <w:p w:rsidR="00377957" w:rsidRDefault="00377957">
            <w:pPr>
              <w:numPr>
                <w:ilvl w:val="0"/>
                <w:numId w:val="3"/>
              </w:numPr>
            </w:pPr>
            <w:r>
              <w:t xml:space="preserve">extrait </w:t>
            </w:r>
            <w:r>
              <w:rPr>
                <w:i/>
              </w:rPr>
              <w:t>On n’est pas couché</w:t>
            </w:r>
            <w:r>
              <w:t>, pp. 178-179, manuel terminale Hachette technique.</w:t>
            </w:r>
          </w:p>
          <w:p w:rsidR="00377957" w:rsidRDefault="00377957">
            <w:pPr>
              <w:numPr>
                <w:ilvl w:val="0"/>
                <w:numId w:val="3"/>
              </w:numPr>
            </w:pPr>
            <w:r>
              <w:t xml:space="preserve">extrait </w:t>
            </w:r>
            <w:r>
              <w:rPr>
                <w:i/>
              </w:rPr>
              <w:t>Peut-on penser à la télévision ?</w:t>
            </w:r>
            <w:r>
              <w:t xml:space="preserve"> Camille Brachet, manuel terminale Foucher, pp. 290</w:t>
            </w:r>
          </w:p>
          <w:p w:rsidR="00377957" w:rsidRDefault="00377957">
            <w:pPr>
              <w:numPr>
                <w:ilvl w:val="0"/>
                <w:numId w:val="3"/>
              </w:numPr>
            </w:pPr>
            <w:r>
              <w:t xml:space="preserve">extrait </w:t>
            </w:r>
            <w:r>
              <w:rPr>
                <w:i/>
              </w:rPr>
              <w:t xml:space="preserve">A qui perd gagne, </w:t>
            </w:r>
            <w:r>
              <w:t>Jean-Claude Grumberg, Babel, pp. 206-208 (« </w:t>
            </w:r>
            <w:r>
              <w:rPr>
                <w:i/>
              </w:rPr>
              <w:t>(Jingle, applaudissements)…l’auteur est gêné »</w:t>
            </w:r>
            <w:r>
              <w:t>)</w:t>
            </w:r>
            <w:r>
              <w:rPr>
                <w:i/>
              </w:rPr>
              <w:t xml:space="preserve"> </w:t>
            </w:r>
            <w:r>
              <w:t xml:space="preserve"> </w:t>
            </w:r>
          </w:p>
          <w:p w:rsidR="00377957" w:rsidRDefault="00377957">
            <w:pPr>
              <w:rPr>
                <w:b/>
              </w:rPr>
            </w:pPr>
          </w:p>
          <w:p w:rsidR="00377957" w:rsidRDefault="00377957">
            <w:r>
              <w:rPr>
                <w:b/>
              </w:rPr>
              <w:t>Activités élèves</w:t>
            </w:r>
            <w:r>
              <w:t> : entraînement à l’examen.</w:t>
            </w:r>
          </w:p>
          <w:p w:rsidR="00377957" w:rsidRDefault="00377957">
            <w:pPr>
              <w:pStyle w:val="Titre1"/>
            </w:pPr>
            <w:r>
              <w:t>Présentation du corpus</w:t>
            </w:r>
          </w:p>
          <w:p w:rsidR="00377957" w:rsidRDefault="00377957">
            <w:r>
              <w:t>Présentez le corpus, en trois à six lignes, en montrant sur quoi se fonde son unité.</w:t>
            </w:r>
          </w:p>
          <w:p w:rsidR="00377957" w:rsidRDefault="00377957">
            <w:r>
              <w:t>Travaux de groupes : comment la parole est-elle mise en spectacle ?  Chaque groupe s’attache, quand c’est possible, à un aspect particulier de la mise en spectacle de la parole : l’image et le son, le décor, les intervenants (meneurs de jeu et participants), la circulation de la parole.</w:t>
            </w:r>
          </w:p>
          <w:p w:rsidR="00377957" w:rsidRDefault="00377957">
            <w:r>
              <w:t xml:space="preserve">    </w:t>
            </w:r>
          </w:p>
        </w:tc>
        <w:tc>
          <w:tcPr>
            <w:tcW w:w="4606" w:type="dxa"/>
          </w:tcPr>
          <w:p w:rsidR="00377957" w:rsidRDefault="00377957"/>
        </w:tc>
      </w:tr>
      <w:tr w:rsidR="00377957">
        <w:tc>
          <w:tcPr>
            <w:tcW w:w="4606" w:type="dxa"/>
          </w:tcPr>
          <w:p w:rsidR="00377957" w:rsidRDefault="00377957">
            <w:r>
              <w:rPr>
                <w:b/>
              </w:rPr>
              <w:t>Séance 3 (dominante lecture)</w:t>
            </w:r>
            <w:r>
              <w:t xml:space="preserve"> </w:t>
            </w:r>
          </w:p>
          <w:p w:rsidR="00377957" w:rsidRDefault="00377957">
            <w:r>
              <w:t xml:space="preserve">3 textes extraits du recueil de nouvelles, </w:t>
            </w:r>
            <w:r>
              <w:rPr>
                <w:i/>
              </w:rPr>
              <w:t xml:space="preserve">Zapping </w:t>
            </w:r>
            <w:r>
              <w:t>de Didier Daeninckx, Folio.</w:t>
            </w:r>
          </w:p>
          <w:p w:rsidR="00377957" w:rsidRDefault="00377957">
            <w:pPr>
              <w:rPr>
                <w:i/>
              </w:rPr>
            </w:pPr>
            <w:r>
              <w:t>pp. 32-42 (« L’indicatif de « La Chance de ma vie »…notre mission ») ; pp.135-143 (« Pierre Beaulac…s’essuya les yeux ») ; pp. 145 – 149  (« Les premières notes…aux oreilles d’ailleurs »)</w:t>
            </w:r>
            <w:r>
              <w:rPr>
                <w:i/>
              </w:rPr>
              <w:t xml:space="preserve"> </w:t>
            </w:r>
          </w:p>
          <w:p w:rsidR="00377957" w:rsidRDefault="00377957">
            <w:pPr>
              <w:rPr>
                <w:b/>
              </w:rPr>
            </w:pPr>
          </w:p>
          <w:p w:rsidR="00377957" w:rsidRDefault="00377957">
            <w:r>
              <w:rPr>
                <w:b/>
              </w:rPr>
              <w:t>Activités élèves</w:t>
            </w:r>
            <w:r>
              <w:t> : entraînement à l’examen.</w:t>
            </w:r>
          </w:p>
          <w:p w:rsidR="00377957" w:rsidRDefault="00377957">
            <w:pPr>
              <w:pStyle w:val="Titre1"/>
            </w:pPr>
            <w:r>
              <w:t xml:space="preserve">Analyse et interprétation </w:t>
            </w:r>
          </w:p>
          <w:p w:rsidR="00377957" w:rsidRDefault="00377957">
            <w:r>
              <w:t>Comment la parole sur le plateau de télévision est-elle mise en spectacle ?</w:t>
            </w:r>
            <w:r w:rsidR="008529FB">
              <w:t xml:space="preserve"> Pour quoi ? </w:t>
            </w:r>
          </w:p>
          <w:p w:rsidR="00377957" w:rsidRDefault="00377957">
            <w:r>
              <w:t xml:space="preserve">Comment les procédés de soulignement du discours mettent-ils en évidence la manipulation du meneur de jeu ? </w:t>
            </w:r>
          </w:p>
          <w:p w:rsidR="008529FB" w:rsidRDefault="008529FB"/>
          <w:p w:rsidR="00377957" w:rsidRDefault="00377957"/>
        </w:tc>
        <w:tc>
          <w:tcPr>
            <w:tcW w:w="4606" w:type="dxa"/>
          </w:tcPr>
          <w:p w:rsidR="00377957" w:rsidRDefault="00377957">
            <w:r>
              <w:t>Les procédés de soulignement du discours</w:t>
            </w:r>
          </w:p>
          <w:p w:rsidR="00377957" w:rsidRDefault="00377957"/>
          <w:p w:rsidR="00377957" w:rsidRDefault="00377957">
            <w:r>
              <w:t>Mesurer les pouvoirs de la parole</w:t>
            </w:r>
          </w:p>
          <w:p w:rsidR="00377957" w:rsidRDefault="00377957"/>
          <w:p w:rsidR="00377957" w:rsidRDefault="00377957">
            <w:r>
              <w:t>Comprendre comment la mise en scène de la parole contribue à son efficacité.</w:t>
            </w:r>
          </w:p>
        </w:tc>
      </w:tr>
      <w:tr w:rsidR="00377957">
        <w:tc>
          <w:tcPr>
            <w:tcW w:w="4606" w:type="dxa"/>
          </w:tcPr>
          <w:p w:rsidR="00377957" w:rsidRDefault="00377957">
            <w:r>
              <w:rPr>
                <w:b/>
              </w:rPr>
              <w:lastRenderedPageBreak/>
              <w:t>Séance 4 (dominante lecture et étude de la langue)</w:t>
            </w:r>
            <w:r>
              <w:t> </w:t>
            </w:r>
          </w:p>
          <w:p w:rsidR="00377957" w:rsidRDefault="00377957">
            <w:r>
              <w:rPr>
                <w:i/>
              </w:rPr>
              <w:t>Comprendre la télévision et ses programmes, 2</w:t>
            </w:r>
            <w:r>
              <w:rPr>
                <w:i/>
                <w:vertAlign w:val="superscript"/>
              </w:rPr>
              <w:t>e</w:t>
            </w:r>
            <w:r>
              <w:rPr>
                <w:i/>
              </w:rPr>
              <w:t xml:space="preserve"> édition, </w:t>
            </w:r>
            <w:r>
              <w:t xml:space="preserve"> François Jost, Armand Colin.</w:t>
            </w:r>
          </w:p>
          <w:p w:rsidR="00377957" w:rsidRDefault="00377957">
            <w:r>
              <w:t xml:space="preserve"> pp.  45-50-51(«considérons l’interview…Canal + en clair)(…)  L’expression…veut dire(…) par mélange… « débat politique»)</w:t>
            </w:r>
          </w:p>
          <w:p w:rsidR="00377957" w:rsidRDefault="00377957">
            <w:r>
              <w:t xml:space="preserve">+ </w:t>
            </w:r>
          </w:p>
          <w:p w:rsidR="00377957" w:rsidRDefault="00377957">
            <w:r>
              <w:t>pp. 107- 108 et 104-105 (« Prenons… « déviant » à cette époque (…) La première…à la fin »)</w:t>
            </w:r>
          </w:p>
          <w:p w:rsidR="00377957" w:rsidRDefault="00377957"/>
          <w:p w:rsidR="00377957" w:rsidRDefault="00377957">
            <w:r>
              <w:rPr>
                <w:b/>
              </w:rPr>
              <w:t>Activités élèves</w:t>
            </w:r>
            <w:r>
              <w:t xml:space="preserve"> : sur quel plan l’écart par rapport à la norme est-il engagé dans les émissions citées, avec quel objectif et pour quelle efficacité ? </w:t>
            </w:r>
          </w:p>
          <w:p w:rsidR="00377957" w:rsidRDefault="00377957"/>
        </w:tc>
        <w:tc>
          <w:tcPr>
            <w:tcW w:w="4606" w:type="dxa"/>
          </w:tcPr>
          <w:p w:rsidR="00377957" w:rsidRDefault="00377957">
            <w:r>
              <w:t>Lexique : norme/écart</w:t>
            </w:r>
          </w:p>
          <w:p w:rsidR="00377957" w:rsidRDefault="00377957"/>
          <w:p w:rsidR="00377957" w:rsidRDefault="00377957">
            <w:r>
              <w:t>Etre conscient des codes culturels et des usages sociaux du langage</w:t>
            </w:r>
          </w:p>
        </w:tc>
      </w:tr>
      <w:tr w:rsidR="00377957">
        <w:tc>
          <w:tcPr>
            <w:tcW w:w="4606" w:type="dxa"/>
          </w:tcPr>
          <w:p w:rsidR="00377957" w:rsidRDefault="00377957">
            <w:r>
              <w:rPr>
                <w:b/>
              </w:rPr>
              <w:t>Séance 5 (dominante lecture )</w:t>
            </w:r>
            <w:r>
              <w:t> </w:t>
            </w:r>
          </w:p>
          <w:p w:rsidR="00377957" w:rsidRDefault="00377957">
            <w:r>
              <w:t>Choisir une émission de télévision à visée informative au format « classique » (le J.T., C dans l’air, une émission politique …), la regarder, si possible l’enregistrer.</w:t>
            </w:r>
          </w:p>
          <w:p w:rsidR="00377957" w:rsidRDefault="00377957"/>
          <w:p w:rsidR="00377957" w:rsidRDefault="00377957">
            <w:r>
              <w:t xml:space="preserve">Justifications (visuelles si possible) à l’appui, dire si on y trouve une mise en spectacle de la parole. Sous quelle(s)  forme(s) ? Expliquer la concordance ou la différence de ce mode de gestion de la parole télévisuelle avec celui en vigueur dans les talk shows. </w:t>
            </w:r>
          </w:p>
          <w:p w:rsidR="00377957" w:rsidRDefault="00377957">
            <w:r>
              <w:t xml:space="preserve">       </w:t>
            </w:r>
          </w:p>
        </w:tc>
        <w:tc>
          <w:tcPr>
            <w:tcW w:w="4606" w:type="dxa"/>
          </w:tcPr>
          <w:p w:rsidR="00377957" w:rsidRDefault="00377957"/>
        </w:tc>
      </w:tr>
      <w:tr w:rsidR="00377957">
        <w:tc>
          <w:tcPr>
            <w:tcW w:w="4606" w:type="dxa"/>
          </w:tcPr>
          <w:p w:rsidR="00377957" w:rsidRDefault="00377957">
            <w:r>
              <w:rPr>
                <w:b/>
              </w:rPr>
              <w:t>Séance 6 (dominante écriture et oral)</w:t>
            </w:r>
            <w:r>
              <w:t> </w:t>
            </w:r>
          </w:p>
          <w:p w:rsidR="00377957" w:rsidRDefault="00377957">
            <w:r>
              <w:t>Jeu de rôles</w:t>
            </w:r>
          </w:p>
          <w:p w:rsidR="00377957" w:rsidRDefault="00377957"/>
          <w:p w:rsidR="00377957" w:rsidRDefault="00377957">
            <w:r>
              <w:rPr>
                <w:b/>
              </w:rPr>
              <w:t>Activités élèves</w:t>
            </w:r>
            <w:r>
              <w:t xml:space="preserve"> : écrire le script de l’interview d’un acteur, d’un auteur de roman ou de bande dessinée, d’une vedette du sport…à la manière d’une interview dans un talk show (distribuer les rôles et la jouer)   </w:t>
            </w:r>
          </w:p>
          <w:p w:rsidR="00377957" w:rsidRDefault="00377957"/>
        </w:tc>
        <w:tc>
          <w:tcPr>
            <w:tcW w:w="4606" w:type="dxa"/>
          </w:tcPr>
          <w:p w:rsidR="00377957" w:rsidRDefault="00377957"/>
        </w:tc>
      </w:tr>
      <w:tr w:rsidR="00377957">
        <w:tc>
          <w:tcPr>
            <w:tcW w:w="4606" w:type="dxa"/>
          </w:tcPr>
          <w:p w:rsidR="00377957" w:rsidRDefault="00377957">
            <w:pPr>
              <w:rPr>
                <w:b/>
              </w:rPr>
            </w:pPr>
            <w:r>
              <w:t xml:space="preserve"> </w:t>
            </w:r>
            <w:r>
              <w:rPr>
                <w:b/>
              </w:rPr>
              <w:t>Séance 7  de décroche (dominante oral)</w:t>
            </w:r>
          </w:p>
          <w:p w:rsidR="00377957" w:rsidRDefault="00377957">
            <w:r>
              <w:t>Retour sur les textes de la séance d’accroche.</w:t>
            </w:r>
          </w:p>
          <w:p w:rsidR="00377957" w:rsidRDefault="00377957"/>
          <w:p w:rsidR="00377957" w:rsidRDefault="00377957">
            <w:r>
              <w:rPr>
                <w:b/>
              </w:rPr>
              <w:t>Activités élèves</w:t>
            </w:r>
            <w:r>
              <w:t xml:space="preserve"> : </w:t>
            </w:r>
          </w:p>
          <w:p w:rsidR="00377957" w:rsidRDefault="00377957">
            <w:pPr>
              <w:numPr>
                <w:ilvl w:val="0"/>
                <w:numId w:val="4"/>
              </w:numPr>
            </w:pPr>
            <w:r>
              <w:t xml:space="preserve">revenir sur les hypothèses posées pour la rénovation du décor de TF1 </w:t>
            </w:r>
          </w:p>
          <w:p w:rsidR="00377957" w:rsidRDefault="00377957">
            <w:pPr>
              <w:numPr>
                <w:ilvl w:val="0"/>
                <w:numId w:val="4"/>
              </w:numPr>
            </w:pPr>
            <w:r>
              <w:t>confronter ses propositions initiales avec la réalité du plateau par le visionnage des images (sur dailymotion), avec ce que l’on a appris pendant la séquence, également. En conclusion, s’interroger sur la visée de l’interview.</w:t>
            </w:r>
          </w:p>
          <w:p w:rsidR="008529FB" w:rsidRDefault="008529FB" w:rsidP="008529FB"/>
          <w:p w:rsidR="008529FB" w:rsidRPr="00760D96" w:rsidRDefault="008529FB" w:rsidP="008529FB">
            <w:pPr>
              <w:pStyle w:val="NormalWeb"/>
              <w:spacing w:before="0" w:beforeAutospacing="0" w:after="0" w:afterAutospacing="0"/>
              <w:rPr>
                <w:sz w:val="20"/>
                <w:szCs w:val="20"/>
              </w:rPr>
            </w:pPr>
            <w:r w:rsidRPr="00760D96">
              <w:rPr>
                <w:sz w:val="20"/>
                <w:szCs w:val="20"/>
              </w:rPr>
              <w:t>http://www.dailymotion.com/video/xb2os8_audigier-le-megalo-fun-onpc-071109_fun</w:t>
            </w:r>
          </w:p>
          <w:p w:rsidR="00760D96" w:rsidRDefault="00760D96" w:rsidP="00760D96"/>
          <w:p w:rsidR="00760D96" w:rsidRDefault="00760D96" w:rsidP="00760D96"/>
          <w:p w:rsidR="00760D96" w:rsidRDefault="00760D96" w:rsidP="00760D96"/>
          <w:p w:rsidR="00760D96" w:rsidRDefault="00760D96" w:rsidP="00760D96"/>
          <w:p w:rsidR="00760D96" w:rsidRDefault="00760D96" w:rsidP="00760D96"/>
          <w:p w:rsidR="00760D96" w:rsidRDefault="00760D96" w:rsidP="00760D96"/>
          <w:p w:rsidR="00760D96" w:rsidRDefault="00760D96" w:rsidP="00760D96"/>
          <w:p w:rsidR="00760D96" w:rsidRDefault="00760D96" w:rsidP="00760D96"/>
          <w:p w:rsidR="00760D96" w:rsidRDefault="00760D96" w:rsidP="00760D96"/>
          <w:p w:rsidR="00760D96" w:rsidRDefault="00760D96" w:rsidP="00760D96"/>
          <w:p w:rsidR="00760D96" w:rsidRDefault="00760D96" w:rsidP="00760D96"/>
          <w:p w:rsidR="00377957" w:rsidRDefault="00377957"/>
        </w:tc>
        <w:tc>
          <w:tcPr>
            <w:tcW w:w="4606" w:type="dxa"/>
          </w:tcPr>
          <w:p w:rsidR="00377957" w:rsidRDefault="00377957">
            <w:r>
              <w:t>Situer la visée d’une parole dans un contexte</w:t>
            </w:r>
          </w:p>
          <w:p w:rsidR="00377957" w:rsidRDefault="00377957"/>
          <w:p w:rsidR="00377957" w:rsidRDefault="00377957">
            <w:r>
              <w:t>Prendre de la distance par rapport à une parole</w:t>
            </w:r>
          </w:p>
        </w:tc>
      </w:tr>
      <w:tr w:rsidR="00377957">
        <w:tc>
          <w:tcPr>
            <w:tcW w:w="4606" w:type="dxa"/>
          </w:tcPr>
          <w:p w:rsidR="00377957" w:rsidRDefault="00377957">
            <w:pPr>
              <w:rPr>
                <w:b/>
              </w:rPr>
            </w:pPr>
            <w:r>
              <w:rPr>
                <w:b/>
              </w:rPr>
              <w:lastRenderedPageBreak/>
              <w:t>Evaluation</w:t>
            </w:r>
            <w:r>
              <w:t xml:space="preserve"> </w:t>
            </w:r>
            <w:r>
              <w:rPr>
                <w:b/>
              </w:rPr>
              <w:t>sommative</w:t>
            </w:r>
          </w:p>
          <w:p w:rsidR="00377957" w:rsidRDefault="00377957">
            <w:pPr>
              <w:rPr>
                <w:b/>
              </w:rPr>
            </w:pPr>
          </w:p>
          <w:p w:rsidR="00377957" w:rsidRDefault="00377957">
            <w:r>
              <w:t xml:space="preserve">Extrait 1,  </w:t>
            </w:r>
            <w:r>
              <w:rPr>
                <w:i/>
              </w:rPr>
              <w:t>L’Idole</w:t>
            </w:r>
            <w:r>
              <w:t>, Serge Joncourt, J’ai Lu, pp. 137 à 140 (du début du chapitre à « sincèrement m’aimer »)</w:t>
            </w:r>
          </w:p>
          <w:p w:rsidR="00377957" w:rsidRDefault="00377957">
            <w:r>
              <w:t xml:space="preserve">Extrait 2, </w:t>
            </w:r>
            <w:r>
              <w:rPr>
                <w:i/>
              </w:rPr>
              <w:t>L’Idole</w:t>
            </w:r>
            <w:r>
              <w:t>, Serge Joncourt, J’ai Lu,  pp. 141 à 142 ( « Comme par l’effet…chez un coiffeur »)</w:t>
            </w:r>
          </w:p>
          <w:p w:rsidR="00377957" w:rsidRDefault="00377957">
            <w:r>
              <w:t xml:space="preserve">Extrait 3, </w:t>
            </w:r>
            <w:r>
              <w:rPr>
                <w:i/>
              </w:rPr>
              <w:t>Comprendre la télévision et ses programmes, 2</w:t>
            </w:r>
            <w:r>
              <w:rPr>
                <w:i/>
                <w:vertAlign w:val="superscript"/>
              </w:rPr>
              <w:t>e</w:t>
            </w:r>
            <w:r>
              <w:rPr>
                <w:i/>
              </w:rPr>
              <w:t xml:space="preserve"> édition, </w:t>
            </w:r>
            <w:r>
              <w:t xml:space="preserve"> François Jost, Armand Colin, pp. 104-105   (« Un autre genre… (divertissement) (…) D’où vient… règlements intérieurs ») + les 4 premières lignes de la page 96</w:t>
            </w:r>
          </w:p>
          <w:p w:rsidR="00377957" w:rsidRDefault="00377957"/>
          <w:p w:rsidR="00377957" w:rsidRDefault="00377957"/>
          <w:p w:rsidR="00377957" w:rsidRDefault="00377957">
            <w:pPr>
              <w:pStyle w:val="Titre1"/>
            </w:pPr>
            <w:r>
              <w:t>Présentation du corpus</w:t>
            </w:r>
          </w:p>
          <w:p w:rsidR="00377957" w:rsidRDefault="00377957">
            <w:r>
              <w:t>Présentez le corpus, en trois à six lignes, en montrant sur quoi se fonde son unité.</w:t>
            </w:r>
          </w:p>
          <w:p w:rsidR="00377957" w:rsidRDefault="00377957">
            <w:pPr>
              <w:pStyle w:val="Titre1"/>
            </w:pPr>
            <w:r>
              <w:t xml:space="preserve">Analyse et interprétation </w:t>
            </w:r>
          </w:p>
          <w:p w:rsidR="00377957" w:rsidRDefault="00377957">
            <w:r>
              <w:t>Extrait 1. En quoi l’attitude de George Franquin  favorise-t-elle ou freine-t-elle la circulation de la parole ?</w:t>
            </w:r>
          </w:p>
          <w:p w:rsidR="00377957" w:rsidRDefault="00377957">
            <w:r>
              <w:t>Extrait 2.  Avec quels objectifs l’animateur met-il en spectacle la vie de Georges Franquin ?</w:t>
            </w:r>
          </w:p>
          <w:p w:rsidR="00377957" w:rsidRDefault="00377957">
            <w:pPr>
              <w:pStyle w:val="Titre1"/>
            </w:pPr>
            <w:r>
              <w:t>Compétences d’écriture</w:t>
            </w:r>
          </w:p>
          <w:p w:rsidR="00377957" w:rsidRDefault="00377957">
            <w:r>
              <w:t>Selon vous, le présentateur est-il un rouage incontournable de la mise en spectacle de la parole télévisuelle ? Vous répondrez à cette question dans un développement argumenté d’une quarantaine de lignes en vous appuyant sur les textes du corpus, les lectures de la séquence et sur vos connaissances personnelles.</w:t>
            </w:r>
          </w:p>
          <w:p w:rsidR="00760D96" w:rsidRDefault="00760D96"/>
        </w:tc>
        <w:tc>
          <w:tcPr>
            <w:tcW w:w="4606" w:type="dxa"/>
          </w:tcPr>
          <w:p w:rsidR="00377957" w:rsidRDefault="00377957"/>
        </w:tc>
      </w:tr>
    </w:tbl>
    <w:p w:rsidR="00377957" w:rsidRDefault="00377957"/>
    <w:p w:rsidR="00377957" w:rsidRDefault="00377957"/>
    <w:sectPr w:rsidR="00377957">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C36B3"/>
    <w:multiLevelType w:val="singleLevel"/>
    <w:tmpl w:val="AB626D42"/>
    <w:lvl w:ilvl="0">
      <w:start w:val="3"/>
      <w:numFmt w:val="bullet"/>
      <w:lvlText w:val="-"/>
      <w:lvlJc w:val="left"/>
      <w:pPr>
        <w:tabs>
          <w:tab w:val="num" w:pos="360"/>
        </w:tabs>
        <w:ind w:left="360" w:hanging="360"/>
      </w:pPr>
      <w:rPr>
        <w:rFonts w:hint="default"/>
      </w:rPr>
    </w:lvl>
  </w:abstractNum>
  <w:abstractNum w:abstractNumId="1">
    <w:nsid w:val="56233362"/>
    <w:multiLevelType w:val="singleLevel"/>
    <w:tmpl w:val="AB626D42"/>
    <w:lvl w:ilvl="0">
      <w:numFmt w:val="bullet"/>
      <w:lvlText w:val="-"/>
      <w:lvlJc w:val="left"/>
      <w:pPr>
        <w:tabs>
          <w:tab w:val="num" w:pos="360"/>
        </w:tabs>
        <w:ind w:left="360" w:hanging="360"/>
      </w:pPr>
      <w:rPr>
        <w:rFonts w:hint="default"/>
      </w:rPr>
    </w:lvl>
  </w:abstractNum>
  <w:abstractNum w:abstractNumId="2">
    <w:nsid w:val="6AF6224A"/>
    <w:multiLevelType w:val="singleLevel"/>
    <w:tmpl w:val="AB626D42"/>
    <w:lvl w:ilvl="0">
      <w:numFmt w:val="bullet"/>
      <w:lvlText w:val="-"/>
      <w:lvlJc w:val="left"/>
      <w:pPr>
        <w:tabs>
          <w:tab w:val="num" w:pos="360"/>
        </w:tabs>
        <w:ind w:left="360" w:hanging="360"/>
      </w:pPr>
      <w:rPr>
        <w:rFonts w:hint="default"/>
      </w:rPr>
    </w:lvl>
  </w:abstractNum>
  <w:abstractNum w:abstractNumId="3">
    <w:nsid w:val="6DFD56AF"/>
    <w:multiLevelType w:val="singleLevel"/>
    <w:tmpl w:val="040C0011"/>
    <w:lvl w:ilvl="0">
      <w:start w:val="1"/>
      <w:numFmt w:val="decimal"/>
      <w:lvlText w:val="%1)"/>
      <w:lvlJc w:val="left"/>
      <w:pPr>
        <w:tabs>
          <w:tab w:val="num" w:pos="360"/>
        </w:tabs>
        <w:ind w:left="360" w:hanging="360"/>
      </w:pPr>
      <w:rPr>
        <w:rFonts w:hint="default"/>
      </w:rPr>
    </w:lvl>
  </w:abstractNum>
  <w:abstractNum w:abstractNumId="4">
    <w:nsid w:val="750C11B8"/>
    <w:multiLevelType w:val="singleLevel"/>
    <w:tmpl w:val="040C0011"/>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34C"/>
    <w:rsid w:val="00377957"/>
    <w:rsid w:val="003B6E6B"/>
    <w:rsid w:val="0051734C"/>
    <w:rsid w:val="0055604A"/>
    <w:rsid w:val="00760D96"/>
    <w:rsid w:val="008529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outlineLvl w:val="0"/>
    </w:pPr>
    <w:rPr>
      <w:b/>
    </w:rPr>
  </w:style>
  <w:style w:type="paragraph" w:styleId="Titre2">
    <w:name w:val="heading 2"/>
    <w:basedOn w:val="Normal"/>
    <w:next w:val="Normal"/>
    <w:qFormat/>
    <w:pPr>
      <w:keepNext/>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Pr>
      <w:color w:val="0000FF"/>
      <w:u w:val="single"/>
    </w:rPr>
  </w:style>
  <w:style w:type="paragraph" w:styleId="Corpsdetexte">
    <w:name w:val="Body Text"/>
    <w:basedOn w:val="Normal"/>
    <w:semiHidden/>
    <w:rPr>
      <w:b/>
    </w:rPr>
  </w:style>
  <w:style w:type="paragraph" w:styleId="NormalWeb">
    <w:name w:val="Normal (Web)"/>
    <w:basedOn w:val="Normal"/>
    <w:uiPriority w:val="99"/>
    <w:semiHidden/>
    <w:unhideWhenUsed/>
    <w:rsid w:val="00760D9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outlineLvl w:val="0"/>
    </w:pPr>
    <w:rPr>
      <w:b/>
    </w:rPr>
  </w:style>
  <w:style w:type="paragraph" w:styleId="Titre2">
    <w:name w:val="heading 2"/>
    <w:basedOn w:val="Normal"/>
    <w:next w:val="Normal"/>
    <w:qFormat/>
    <w:pPr>
      <w:keepNext/>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Pr>
      <w:color w:val="0000FF"/>
      <w:u w:val="single"/>
    </w:rPr>
  </w:style>
  <w:style w:type="paragraph" w:styleId="Corpsdetexte">
    <w:name w:val="Body Text"/>
    <w:basedOn w:val="Normal"/>
    <w:semiHidden/>
    <w:rPr>
      <w:b/>
    </w:rPr>
  </w:style>
  <w:style w:type="paragraph" w:styleId="NormalWeb">
    <w:name w:val="Normal (Web)"/>
    <w:basedOn w:val="Normal"/>
    <w:uiPriority w:val="99"/>
    <w:semiHidden/>
    <w:unhideWhenUsed/>
    <w:rsid w:val="00760D9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833</Words>
  <Characters>4582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Objet d’étude  / L’homme face aux avancées scientifiques et techniques : enthousiasmes et interrogations</vt:lpstr>
    </vt:vector>
  </TitlesOfParts>
  <Company>CHARLES</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 d’étude  / L’homme face aux avancées scientifiques et techniques : enthousiasmes et interrogations</dc:title>
  <dc:creator>CROS</dc:creator>
  <cp:lastModifiedBy>Christelletlena</cp:lastModifiedBy>
  <cp:revision>2</cp:revision>
  <dcterms:created xsi:type="dcterms:W3CDTF">2011-11-16T17:25:00Z</dcterms:created>
  <dcterms:modified xsi:type="dcterms:W3CDTF">2011-11-16T17:25:00Z</dcterms:modified>
</cp:coreProperties>
</file>