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61"/>
        <w:ind w:left="289" w:right="0" w:firstLine="0"/>
        <w:jc w:val="left"/>
        <w:rPr>
          <w:b/>
          <w:sz w:val="36"/>
        </w:rPr>
      </w:pPr>
      <w:r>
        <w:rPr>
          <w:b/>
          <w:sz w:val="36"/>
        </w:rPr>
        <w:t>PÉRIODES DE FORMATION EN MILIEU PROFESSIONNEL</w:t>
      </w:r>
    </w:p>
    <w:p>
      <w:pPr>
        <w:pStyle w:val="BodyText"/>
        <w:spacing w:before="5"/>
        <w:ind w:left="0"/>
        <w:rPr>
          <w:b/>
          <w:sz w:val="48"/>
        </w:rPr>
      </w:pPr>
    </w:p>
    <w:p>
      <w:pPr>
        <w:pStyle w:val="Heading1"/>
        <w:numPr>
          <w:ilvl w:val="0"/>
          <w:numId w:val="1"/>
        </w:numPr>
        <w:tabs>
          <w:tab w:pos="423" w:val="left" w:leader="none"/>
        </w:tabs>
        <w:spacing w:line="240" w:lineRule="auto" w:before="0" w:after="0"/>
        <w:ind w:left="422" w:right="0" w:hanging="313"/>
        <w:jc w:val="left"/>
        <w:rPr>
          <w:u w:val="none"/>
        </w:rPr>
      </w:pPr>
      <w:r>
        <w:rPr>
          <w:u w:val="thick"/>
        </w:rPr>
        <w:t>Objectifs</w:t>
      </w:r>
    </w:p>
    <w:p>
      <w:pPr>
        <w:pStyle w:val="BodyText"/>
        <w:spacing w:before="9"/>
        <w:ind w:left="0"/>
        <w:rPr>
          <w:b/>
          <w:sz w:val="12"/>
        </w:rPr>
      </w:pPr>
    </w:p>
    <w:p>
      <w:pPr>
        <w:pStyle w:val="BodyText"/>
        <w:spacing w:before="94"/>
        <w:ind w:right="104"/>
        <w:jc w:val="both"/>
      </w:pPr>
      <w:r>
        <w:rPr/>
        <w:t>La formation en milieu professionnel doit permettre à l’apprenant d'acquérir et de mettre en œuvre des compétences en termes de savoir-faire et de savoir-être. Ces compétences sont mises en œuvre dans les activités définies par le référentiel des activités professionnelles.</w:t>
      </w:r>
    </w:p>
    <w:p>
      <w:pPr>
        <w:pStyle w:val="BodyText"/>
        <w:spacing w:before="9"/>
        <w:ind w:left="0"/>
        <w:rPr>
          <w:sz w:val="20"/>
        </w:rPr>
      </w:pPr>
    </w:p>
    <w:p>
      <w:pPr>
        <w:pStyle w:val="BodyText"/>
        <w:ind w:right="105"/>
        <w:jc w:val="both"/>
      </w:pPr>
      <w:r>
        <w:rPr/>
        <w:t>La période de formation en milieu professionnel doit préparer le futur professionnel à une certaine diversité de l'activité des secteurs professionnels de la collecte, du tri, du traitement des déchets et de la propreté urbaine.</w:t>
      </w:r>
    </w:p>
    <w:p>
      <w:pPr>
        <w:pStyle w:val="BodyText"/>
        <w:spacing w:before="9"/>
        <w:ind w:left="0"/>
        <w:rPr>
          <w:sz w:val="20"/>
        </w:rPr>
      </w:pPr>
    </w:p>
    <w:p>
      <w:pPr>
        <w:pStyle w:val="BodyText"/>
        <w:spacing w:before="1"/>
        <w:ind w:right="113"/>
        <w:jc w:val="both"/>
      </w:pPr>
      <w:r>
        <w:rPr/>
        <w:t>La formation en milieu professionnel fait l’objet de la délivrance d’attestations de lieu et de durée signée par les responsables de stage ou d’un certificat signé par l’employeur.</w:t>
      </w:r>
    </w:p>
    <w:p>
      <w:pPr>
        <w:pStyle w:val="BodyText"/>
        <w:spacing w:before="1"/>
        <w:ind w:left="0"/>
      </w:pPr>
    </w:p>
    <w:p>
      <w:pPr>
        <w:pStyle w:val="BodyText"/>
        <w:ind w:right="117"/>
        <w:jc w:val="both"/>
      </w:pPr>
      <w:r>
        <w:rPr>
          <w:spacing w:val="4"/>
        </w:rPr>
        <w:t>Cette formation </w:t>
      </w:r>
      <w:r>
        <w:rPr>
          <w:spacing w:val="3"/>
        </w:rPr>
        <w:t>en </w:t>
      </w:r>
      <w:r>
        <w:rPr>
          <w:spacing w:val="4"/>
        </w:rPr>
        <w:t>entreprise </w:t>
      </w:r>
      <w:r>
        <w:rPr/>
        <w:t>permet d'exercer des activités sur sites en vue </w:t>
      </w:r>
      <w:r>
        <w:rPr>
          <w:spacing w:val="4"/>
        </w:rPr>
        <w:t>d'acquérir, </w:t>
      </w:r>
      <w:r>
        <w:rPr/>
        <w:t>de </w:t>
      </w:r>
      <w:r>
        <w:rPr>
          <w:spacing w:val="4"/>
        </w:rPr>
        <w:t>compléter,  </w:t>
      </w:r>
      <w:r>
        <w:rPr>
          <w:spacing w:val="3"/>
        </w:rPr>
        <w:t>de </w:t>
      </w:r>
      <w:r>
        <w:rPr>
          <w:spacing w:val="4"/>
        </w:rPr>
        <w:t>mettre </w:t>
      </w:r>
      <w:r>
        <w:rPr/>
        <w:t>en </w:t>
      </w:r>
      <w:r>
        <w:rPr>
          <w:spacing w:val="4"/>
        </w:rPr>
        <w:t>œuvre </w:t>
      </w:r>
      <w:r>
        <w:rPr>
          <w:spacing w:val="2"/>
        </w:rPr>
        <w:t>des </w:t>
      </w:r>
      <w:r>
        <w:rPr/>
        <w:t>compétences techniques ainsi qu'un comportement professionnel, dans les deux secteurs d'activités</w:t>
      </w:r>
      <w:r>
        <w:rPr>
          <w:spacing w:val="-7"/>
        </w:rPr>
        <w:t> </w:t>
      </w:r>
      <w:r>
        <w:rPr/>
        <w:t>:</w:t>
      </w:r>
    </w:p>
    <w:p>
      <w:pPr>
        <w:pStyle w:val="ListParagraph"/>
        <w:numPr>
          <w:ilvl w:val="0"/>
          <w:numId w:val="2"/>
        </w:numPr>
        <w:tabs>
          <w:tab w:pos="1242" w:val="left" w:leader="none"/>
          <w:tab w:pos="1243" w:val="left" w:leader="none"/>
        </w:tabs>
        <w:spacing w:line="240" w:lineRule="auto" w:before="39" w:after="0"/>
        <w:ind w:left="1242" w:right="0" w:hanging="336"/>
        <w:jc w:val="left"/>
        <w:rPr>
          <w:sz w:val="22"/>
        </w:rPr>
      </w:pPr>
      <w:r>
        <w:rPr>
          <w:spacing w:val="2"/>
          <w:sz w:val="22"/>
        </w:rPr>
        <w:t>la</w:t>
      </w:r>
      <w:r>
        <w:rPr>
          <w:spacing w:val="13"/>
          <w:sz w:val="22"/>
        </w:rPr>
        <w:t> </w:t>
      </w:r>
      <w:r>
        <w:rPr>
          <w:spacing w:val="5"/>
          <w:sz w:val="22"/>
        </w:rPr>
        <w:t>gestion</w:t>
      </w:r>
      <w:r>
        <w:rPr>
          <w:spacing w:val="14"/>
          <w:sz w:val="22"/>
        </w:rPr>
        <w:t> </w:t>
      </w:r>
      <w:r>
        <w:rPr>
          <w:spacing w:val="4"/>
          <w:sz w:val="22"/>
        </w:rPr>
        <w:t>des</w:t>
      </w:r>
      <w:r>
        <w:rPr>
          <w:spacing w:val="17"/>
          <w:sz w:val="22"/>
        </w:rPr>
        <w:t> </w:t>
      </w:r>
      <w:r>
        <w:rPr>
          <w:spacing w:val="4"/>
          <w:sz w:val="22"/>
        </w:rPr>
        <w:t>déchets</w:t>
      </w:r>
      <w:r>
        <w:rPr>
          <w:spacing w:val="16"/>
          <w:sz w:val="22"/>
        </w:rPr>
        <w:t> </w:t>
      </w:r>
      <w:r>
        <w:rPr>
          <w:sz w:val="22"/>
        </w:rPr>
        <w:t>:</w:t>
      </w:r>
      <w:r>
        <w:rPr>
          <w:spacing w:val="18"/>
          <w:sz w:val="22"/>
        </w:rPr>
        <w:t> </w:t>
      </w:r>
      <w:r>
        <w:rPr>
          <w:spacing w:val="5"/>
          <w:sz w:val="22"/>
        </w:rPr>
        <w:t>collecte</w:t>
      </w:r>
      <w:r>
        <w:rPr>
          <w:spacing w:val="16"/>
          <w:sz w:val="22"/>
        </w:rPr>
        <w:t> </w:t>
      </w:r>
      <w:r>
        <w:rPr>
          <w:spacing w:val="3"/>
          <w:sz w:val="22"/>
        </w:rPr>
        <w:t>ou</w:t>
      </w:r>
      <w:r>
        <w:rPr>
          <w:spacing w:val="13"/>
          <w:sz w:val="22"/>
        </w:rPr>
        <w:t> </w:t>
      </w:r>
      <w:r>
        <w:rPr>
          <w:spacing w:val="4"/>
          <w:sz w:val="22"/>
        </w:rPr>
        <w:t>tri</w:t>
      </w:r>
      <w:r>
        <w:rPr>
          <w:spacing w:val="16"/>
          <w:sz w:val="22"/>
        </w:rPr>
        <w:t> </w:t>
      </w:r>
      <w:r>
        <w:rPr>
          <w:spacing w:val="3"/>
          <w:sz w:val="22"/>
        </w:rPr>
        <w:t>ou</w:t>
      </w:r>
      <w:r>
        <w:rPr>
          <w:spacing w:val="13"/>
          <w:sz w:val="22"/>
        </w:rPr>
        <w:t> </w:t>
      </w:r>
      <w:r>
        <w:rPr>
          <w:spacing w:val="5"/>
          <w:sz w:val="22"/>
        </w:rPr>
        <w:t>traitement/valorisation</w:t>
      </w:r>
      <w:r>
        <w:rPr>
          <w:spacing w:val="16"/>
          <w:sz w:val="22"/>
        </w:rPr>
        <w:t> </w:t>
      </w:r>
      <w:r>
        <w:rPr>
          <w:spacing w:val="3"/>
          <w:sz w:val="22"/>
        </w:rPr>
        <w:t>des</w:t>
      </w:r>
      <w:r>
        <w:rPr>
          <w:spacing w:val="14"/>
          <w:sz w:val="22"/>
        </w:rPr>
        <w:t> </w:t>
      </w:r>
      <w:r>
        <w:rPr>
          <w:spacing w:val="5"/>
          <w:sz w:val="22"/>
        </w:rPr>
        <w:t>déchets</w:t>
      </w:r>
      <w:r>
        <w:rPr>
          <w:spacing w:val="23"/>
          <w:sz w:val="22"/>
        </w:rPr>
        <w:t> </w:t>
      </w:r>
      <w:r>
        <w:rPr>
          <w:sz w:val="22"/>
        </w:rPr>
        <w:t>;</w:t>
      </w:r>
    </w:p>
    <w:p>
      <w:pPr>
        <w:pStyle w:val="ListParagraph"/>
        <w:numPr>
          <w:ilvl w:val="0"/>
          <w:numId w:val="2"/>
        </w:numPr>
        <w:tabs>
          <w:tab w:pos="1242" w:val="left" w:leader="none"/>
          <w:tab w:pos="1243" w:val="left" w:leader="none"/>
        </w:tabs>
        <w:spacing w:line="240" w:lineRule="auto" w:before="1" w:after="0"/>
        <w:ind w:left="1242" w:right="0" w:hanging="336"/>
        <w:jc w:val="left"/>
        <w:rPr>
          <w:sz w:val="22"/>
        </w:rPr>
      </w:pPr>
      <w:r>
        <w:rPr>
          <w:sz w:val="22"/>
        </w:rPr>
        <w:t>la propreté</w:t>
      </w:r>
      <w:r>
        <w:rPr>
          <w:spacing w:val="-7"/>
          <w:sz w:val="22"/>
        </w:rPr>
        <w:t> </w:t>
      </w:r>
      <w:r>
        <w:rPr>
          <w:sz w:val="22"/>
        </w:rPr>
        <w:t>urbaine.</w:t>
      </w:r>
    </w:p>
    <w:p>
      <w:pPr>
        <w:pStyle w:val="BodyText"/>
        <w:ind w:left="0"/>
        <w:rPr>
          <w:sz w:val="24"/>
        </w:rPr>
      </w:pPr>
    </w:p>
    <w:p>
      <w:pPr>
        <w:pStyle w:val="BodyText"/>
        <w:spacing w:before="10"/>
        <w:ind w:left="0"/>
        <w:rPr>
          <w:sz w:val="18"/>
        </w:rPr>
      </w:pPr>
    </w:p>
    <w:p>
      <w:pPr>
        <w:pStyle w:val="Heading1"/>
        <w:numPr>
          <w:ilvl w:val="0"/>
          <w:numId w:val="1"/>
        </w:numPr>
        <w:tabs>
          <w:tab w:pos="425" w:val="left" w:leader="none"/>
        </w:tabs>
        <w:spacing w:line="240" w:lineRule="auto" w:before="0" w:after="0"/>
        <w:ind w:left="424" w:right="0" w:hanging="315"/>
        <w:jc w:val="both"/>
        <w:rPr>
          <w:u w:val="none"/>
        </w:rPr>
      </w:pPr>
      <w:r>
        <w:rPr>
          <w:u w:val="thick"/>
        </w:rPr>
        <w:t>Durée et</w:t>
      </w:r>
      <w:r>
        <w:rPr>
          <w:spacing w:val="-2"/>
          <w:u w:val="thick"/>
        </w:rPr>
        <w:t> </w:t>
      </w:r>
      <w:r>
        <w:rPr>
          <w:u w:val="thick"/>
        </w:rPr>
        <w:t>modalités</w:t>
      </w:r>
    </w:p>
    <w:p>
      <w:pPr>
        <w:pStyle w:val="Heading2"/>
        <w:numPr>
          <w:ilvl w:val="1"/>
          <w:numId w:val="1"/>
        </w:numPr>
        <w:tabs>
          <w:tab w:pos="581" w:val="left" w:leader="none"/>
        </w:tabs>
        <w:spacing w:line="240" w:lineRule="auto" w:before="239" w:after="0"/>
        <w:ind w:left="580" w:right="0" w:hanging="471"/>
        <w:jc w:val="both"/>
        <w:rPr>
          <w:i/>
        </w:rPr>
      </w:pPr>
      <w:r>
        <w:rPr>
          <w:i/>
        </w:rPr>
        <w:t>Candidats relevant de la voie</w:t>
      </w:r>
      <w:r>
        <w:rPr>
          <w:i/>
          <w:spacing w:val="-4"/>
        </w:rPr>
        <w:t> </w:t>
      </w:r>
      <w:r>
        <w:rPr>
          <w:i/>
        </w:rPr>
        <w:t>scolaire</w:t>
      </w:r>
    </w:p>
    <w:p>
      <w:pPr>
        <w:pStyle w:val="BodyText"/>
        <w:ind w:left="0"/>
        <w:rPr>
          <w:b/>
          <w:i/>
          <w:sz w:val="21"/>
        </w:rPr>
      </w:pPr>
    </w:p>
    <w:p>
      <w:pPr>
        <w:pStyle w:val="BodyText"/>
        <w:ind w:right="103"/>
        <w:jc w:val="both"/>
      </w:pPr>
      <w:r>
        <w:rPr/>
        <w:t>La   durée   de   la   période   de   formation   en   milieu    professionnel    est    de    seize    semaines. Sept semaines de formation en milieu professionnel dans deux entreprises ou collectivités de secteurs différents seront prévues sur chaque année de</w:t>
      </w:r>
      <w:r>
        <w:rPr>
          <w:spacing w:val="-6"/>
        </w:rPr>
        <w:t> </w:t>
      </w:r>
      <w:r>
        <w:rPr/>
        <w:t>formation.</w:t>
      </w:r>
    </w:p>
    <w:p>
      <w:pPr>
        <w:pStyle w:val="BodyText"/>
        <w:spacing w:before="119"/>
        <w:ind w:right="134"/>
        <w:jc w:val="both"/>
      </w:pPr>
      <w:r>
        <w:rPr/>
        <w:t>Deux </w:t>
      </w:r>
      <w:r>
        <w:rPr>
          <w:spacing w:val="3"/>
        </w:rPr>
        <w:t>semaines </w:t>
      </w:r>
      <w:r>
        <w:rPr>
          <w:spacing w:val="2"/>
        </w:rPr>
        <w:t>spécifiques s'y ajoutent, organisées </w:t>
      </w:r>
      <w:r>
        <w:rPr/>
        <w:t>par </w:t>
      </w:r>
      <w:r>
        <w:rPr>
          <w:spacing w:val="2"/>
        </w:rPr>
        <w:t>l'établissement </w:t>
      </w:r>
      <w:r>
        <w:rPr/>
        <w:t>de </w:t>
      </w:r>
      <w:r>
        <w:rPr>
          <w:spacing w:val="2"/>
        </w:rPr>
        <w:t>formation, elles </w:t>
      </w:r>
      <w:r>
        <w:rPr/>
        <w:t>ont  pour  </w:t>
      </w:r>
      <w:r>
        <w:rPr>
          <w:spacing w:val="2"/>
        </w:rPr>
        <w:t>objet </w:t>
      </w:r>
      <w:r>
        <w:rPr>
          <w:spacing w:val="3"/>
        </w:rPr>
        <w:t>l’organisation </w:t>
      </w:r>
      <w:r>
        <w:rPr>
          <w:spacing w:val="2"/>
        </w:rPr>
        <w:t>des formations spécifiques </w:t>
      </w:r>
      <w:r>
        <w:rPr>
          <w:spacing w:val="3"/>
        </w:rPr>
        <w:t>obligatoires</w:t>
      </w:r>
      <w:r>
        <w:rPr>
          <w:spacing w:val="38"/>
        </w:rPr>
        <w:t> </w:t>
      </w:r>
      <w:r>
        <w:rPr/>
        <w:t>:</w:t>
      </w:r>
    </w:p>
    <w:p>
      <w:pPr>
        <w:pStyle w:val="ListParagraph"/>
        <w:numPr>
          <w:ilvl w:val="2"/>
          <w:numId w:val="1"/>
        </w:numPr>
        <w:tabs>
          <w:tab w:pos="1242" w:val="left" w:leader="none"/>
          <w:tab w:pos="1243" w:val="left" w:leader="none"/>
        </w:tabs>
        <w:spacing w:line="252" w:lineRule="exact" w:before="42" w:after="0"/>
        <w:ind w:left="1266" w:right="0" w:hanging="360"/>
        <w:jc w:val="left"/>
        <w:rPr>
          <w:sz w:val="22"/>
        </w:rPr>
      </w:pPr>
      <w:r>
        <w:rPr>
          <w:sz w:val="22"/>
        </w:rPr>
        <w:t>Sauvetage Secourisme du Travail (SST)</w:t>
      </w:r>
      <w:r>
        <w:rPr>
          <w:spacing w:val="-6"/>
          <w:sz w:val="22"/>
        </w:rPr>
        <w:t> </w:t>
      </w:r>
      <w:r>
        <w:rPr>
          <w:sz w:val="22"/>
        </w:rPr>
        <w:t>;</w:t>
      </w:r>
    </w:p>
    <w:p>
      <w:pPr>
        <w:pStyle w:val="ListParagraph"/>
        <w:numPr>
          <w:ilvl w:val="2"/>
          <w:numId w:val="1"/>
        </w:numPr>
        <w:tabs>
          <w:tab w:pos="1242" w:val="left" w:leader="none"/>
          <w:tab w:pos="1243" w:val="left" w:leader="none"/>
        </w:tabs>
        <w:spacing w:line="252" w:lineRule="exact" w:before="0" w:after="0"/>
        <w:ind w:left="1266" w:right="0" w:hanging="360"/>
        <w:jc w:val="left"/>
        <w:rPr>
          <w:sz w:val="22"/>
        </w:rPr>
      </w:pPr>
      <w:r>
        <w:rPr>
          <w:sz w:val="22"/>
        </w:rPr>
        <w:t>Prévention des Risques liés à l'Activité Physique Industrie Bâtiment Commerce (PRAP IBC)</w:t>
      </w:r>
      <w:r>
        <w:rPr>
          <w:spacing w:val="-15"/>
          <w:sz w:val="22"/>
        </w:rPr>
        <w:t> </w:t>
      </w:r>
      <w:r>
        <w:rPr>
          <w:sz w:val="22"/>
        </w:rPr>
        <w:t>;</w:t>
      </w:r>
    </w:p>
    <w:p>
      <w:pPr>
        <w:pStyle w:val="ListParagraph"/>
        <w:numPr>
          <w:ilvl w:val="2"/>
          <w:numId w:val="1"/>
        </w:numPr>
        <w:tabs>
          <w:tab w:pos="1242" w:val="left" w:leader="none"/>
          <w:tab w:pos="1243" w:val="left" w:leader="none"/>
        </w:tabs>
        <w:spacing w:line="240" w:lineRule="auto" w:before="0" w:after="0"/>
        <w:ind w:left="1266" w:right="99" w:hanging="360"/>
        <w:jc w:val="left"/>
        <w:rPr>
          <w:sz w:val="22"/>
        </w:rPr>
      </w:pPr>
      <w:r>
        <w:rPr>
          <w:sz w:val="22"/>
        </w:rPr>
        <w:t>Certificat d'Aptitude à la Conduite en Sécurité (CACES) d'équipements </w:t>
      </w:r>
      <w:r>
        <w:rPr>
          <w:spacing w:val="2"/>
          <w:sz w:val="22"/>
        </w:rPr>
        <w:t>utilisés </w:t>
      </w:r>
      <w:r>
        <w:rPr>
          <w:sz w:val="22"/>
        </w:rPr>
        <w:t>dans la profession</w:t>
      </w:r>
      <w:r>
        <w:rPr>
          <w:spacing w:val="-2"/>
          <w:sz w:val="22"/>
        </w:rPr>
        <w:t> </w:t>
      </w:r>
      <w:r>
        <w:rPr>
          <w:sz w:val="22"/>
        </w:rPr>
        <w:t>;</w:t>
      </w:r>
    </w:p>
    <w:p>
      <w:pPr>
        <w:pStyle w:val="ListParagraph"/>
        <w:numPr>
          <w:ilvl w:val="2"/>
          <w:numId w:val="1"/>
        </w:numPr>
        <w:tabs>
          <w:tab w:pos="1242" w:val="left" w:leader="none"/>
          <w:tab w:pos="1243" w:val="left" w:leader="none"/>
        </w:tabs>
        <w:spacing w:line="240" w:lineRule="auto" w:before="0" w:after="0"/>
        <w:ind w:left="1266" w:right="0" w:hanging="360"/>
        <w:jc w:val="left"/>
        <w:rPr>
          <w:sz w:val="22"/>
        </w:rPr>
      </w:pPr>
      <w:r>
        <w:rPr>
          <w:sz w:val="22"/>
        </w:rPr>
        <w:t>Travail en hauteur, recommandation R408</w:t>
      </w:r>
      <w:r>
        <w:rPr>
          <w:spacing w:val="-1"/>
          <w:sz w:val="22"/>
        </w:rPr>
        <w:t> </w:t>
      </w:r>
      <w:r>
        <w:rPr>
          <w:sz w:val="22"/>
        </w:rPr>
        <w:t>;</w:t>
      </w:r>
    </w:p>
    <w:p>
      <w:pPr>
        <w:pStyle w:val="ListParagraph"/>
        <w:numPr>
          <w:ilvl w:val="2"/>
          <w:numId w:val="1"/>
        </w:numPr>
        <w:tabs>
          <w:tab w:pos="1242" w:val="left" w:leader="none"/>
          <w:tab w:pos="1243" w:val="left" w:leader="none"/>
        </w:tabs>
        <w:spacing w:line="240" w:lineRule="auto" w:before="1" w:after="0"/>
        <w:ind w:left="1266" w:right="0" w:hanging="360"/>
        <w:jc w:val="left"/>
        <w:rPr>
          <w:sz w:val="22"/>
        </w:rPr>
      </w:pPr>
      <w:r>
        <w:rPr>
          <w:sz w:val="22"/>
        </w:rPr>
        <w:t>Habilitations non-électricien, fluides</w:t>
      </w:r>
      <w:r>
        <w:rPr>
          <w:spacing w:val="-6"/>
          <w:sz w:val="22"/>
        </w:rPr>
        <w:t> </w:t>
      </w:r>
      <w:r>
        <w:rPr>
          <w:sz w:val="22"/>
        </w:rPr>
        <w:t>frigorigènes….</w:t>
      </w:r>
    </w:p>
    <w:p>
      <w:pPr>
        <w:pStyle w:val="BodyText"/>
        <w:spacing w:before="120"/>
        <w:ind w:right="107"/>
        <w:jc w:val="both"/>
      </w:pPr>
      <w:r>
        <w:rPr/>
        <w:t>Au cours de la dernière année de CAP, une période de formation en milieu professionnel d’une durée minimum de trois semaines consécutives, permet l’évaluation en contrôle en cours de formation prévue en entreprise ou en collectivité.</w:t>
      </w:r>
    </w:p>
    <w:p>
      <w:pPr>
        <w:pStyle w:val="BodyText"/>
        <w:spacing w:before="119"/>
        <w:ind w:right="103"/>
        <w:jc w:val="both"/>
      </w:pPr>
      <w:r>
        <w:rPr/>
        <w:t>Pour un cycle de formation en un an, les seize semaines de formation en milieu professionnel sont à effectuer dans des entreprises de secteurs différents, soit en semaines consécutives ou non, soit en équivalent jours. Une période d’une durée minimum de trois semaines consécutives sera prévue en fin de formation pour l’évaluation en contrôle en cours de formation.</w:t>
      </w:r>
    </w:p>
    <w:p>
      <w:pPr>
        <w:pStyle w:val="BodyText"/>
        <w:spacing w:before="121"/>
        <w:ind w:right="103"/>
        <w:jc w:val="both"/>
      </w:pPr>
      <w:r>
        <w:rPr/>
        <w:t>Le choix des dates des périodes de formation en milieu professionnel est laissé à l'initiative de l'établissement, en concertation avec les milieux professionnels et les conseillers de l'enseignement technologique pour tenir compte des conditions locales.</w:t>
      </w:r>
    </w:p>
    <w:p>
      <w:pPr>
        <w:pStyle w:val="BodyText"/>
        <w:spacing w:line="213" w:lineRule="auto" w:before="121"/>
        <w:ind w:right="101"/>
        <w:jc w:val="both"/>
      </w:pPr>
      <w:r>
        <w:rPr/>
        <w:t>L'organisation de la formation en milieu professionnel fait obligatoirement l'objet d'une convention entre l'établissement de formation et l'entreprise d’</w:t>
      </w:r>
      <w:r>
        <w:rPr>
          <w:vertAlign w:val="superscript"/>
        </w:rPr>
        <w:t>’</w:t>
      </w:r>
      <w:r>
        <w:rPr>
          <w:vertAlign w:val="baseline"/>
        </w:rPr>
        <w:t>accueil. Cette convention est établie conformément à la réglementation en vigueur. La recherche, le choix des lieux d'accueil et le suivi de l’élève en milieu professionnel relèvent de la responsabilité de l'équipe pédagogique de l’établissement de formation.</w:t>
      </w:r>
    </w:p>
    <w:p>
      <w:pPr>
        <w:pStyle w:val="BodyText"/>
        <w:spacing w:line="213" w:lineRule="auto" w:before="124"/>
        <w:ind w:right="109"/>
        <w:jc w:val="both"/>
      </w:pPr>
      <w:r>
        <w:rPr/>
        <w:t>Pour chaque période, les activités sont organisées et suivies par un tuteur au sein de l’entreprise conformément au livret de suivi de PFMP établi par l’établissement de formation.</w:t>
      </w:r>
    </w:p>
    <w:p>
      <w:pPr>
        <w:pStyle w:val="BodyText"/>
        <w:spacing w:before="11"/>
        <w:ind w:left="0"/>
        <w:rPr>
          <w:sz w:val="20"/>
        </w:rPr>
      </w:pPr>
    </w:p>
    <w:p>
      <w:pPr>
        <w:pStyle w:val="BodyText"/>
        <w:spacing w:line="213" w:lineRule="auto"/>
        <w:ind w:right="110"/>
        <w:jc w:val="both"/>
      </w:pPr>
      <w:r>
        <w:rPr/>
        <w:t>Pendant la PFMP, l'élève reste sous la responsabilité pédagogique de l'équipe des professeurs chargés de la section. Les visites de suivi effectuées par les enseignants sont organisées en accord avec le tuteur et le responsable du lieu d'accueil.</w:t>
      </w:r>
    </w:p>
    <w:p>
      <w:pPr>
        <w:spacing w:after="0" w:line="213" w:lineRule="auto"/>
        <w:jc w:val="both"/>
        <w:sectPr>
          <w:type w:val="continuous"/>
          <w:pgSz w:w="11910" w:h="16840"/>
          <w:pgMar w:top="480" w:bottom="280" w:left="740" w:right="460"/>
        </w:sectPr>
      </w:pPr>
    </w:p>
    <w:p>
      <w:pPr>
        <w:pStyle w:val="Heading2"/>
        <w:numPr>
          <w:ilvl w:val="1"/>
          <w:numId w:val="1"/>
        </w:numPr>
        <w:tabs>
          <w:tab w:pos="581" w:val="left" w:leader="none"/>
        </w:tabs>
        <w:spacing w:line="240" w:lineRule="auto" w:before="63" w:after="0"/>
        <w:ind w:left="580" w:right="0" w:hanging="471"/>
        <w:jc w:val="both"/>
        <w:rPr>
          <w:i/>
        </w:rPr>
      </w:pPr>
      <w:r>
        <w:rPr>
          <w:i/>
        </w:rPr>
        <w:t>Candidats relevant de la voie de</w:t>
      </w:r>
      <w:r>
        <w:rPr>
          <w:i/>
          <w:spacing w:val="-3"/>
        </w:rPr>
        <w:t> </w:t>
      </w:r>
      <w:r>
        <w:rPr>
          <w:i/>
        </w:rPr>
        <w:t>l'apprentissage</w:t>
      </w:r>
    </w:p>
    <w:p>
      <w:pPr>
        <w:pStyle w:val="BodyText"/>
        <w:spacing w:before="2"/>
        <w:ind w:left="0"/>
        <w:rPr>
          <w:b/>
          <w:i/>
          <w:sz w:val="21"/>
        </w:rPr>
      </w:pPr>
    </w:p>
    <w:p>
      <w:pPr>
        <w:pStyle w:val="BodyText"/>
        <w:spacing w:line="213" w:lineRule="auto"/>
        <w:ind w:right="114"/>
        <w:jc w:val="both"/>
      </w:pPr>
      <w:r>
        <w:rPr/>
        <w:t>La formation fait l'objet d'un contrat conclu entre l'apprenti et son employeur conformément aux  dispositions en vigueur du code du</w:t>
      </w:r>
      <w:r>
        <w:rPr>
          <w:spacing w:val="-19"/>
        </w:rPr>
        <w:t> </w:t>
      </w:r>
      <w:r>
        <w:rPr/>
        <w:t>travail.</w:t>
      </w:r>
    </w:p>
    <w:p>
      <w:pPr>
        <w:pStyle w:val="BodyText"/>
        <w:spacing w:line="218" w:lineRule="auto"/>
        <w:ind w:right="150"/>
        <w:jc w:val="both"/>
      </w:pPr>
      <w:r>
        <w:rPr>
          <w:spacing w:val="3"/>
        </w:rPr>
        <w:t>Afin </w:t>
      </w:r>
      <w:r>
        <w:rPr>
          <w:spacing w:val="4"/>
        </w:rPr>
        <w:t>d'assurer </w:t>
      </w:r>
      <w:r>
        <w:rPr>
          <w:spacing w:val="2"/>
        </w:rPr>
        <w:t>la </w:t>
      </w:r>
      <w:r>
        <w:rPr>
          <w:spacing w:val="5"/>
        </w:rPr>
        <w:t>cohérence </w:t>
      </w:r>
      <w:r>
        <w:rPr>
          <w:spacing w:val="4"/>
        </w:rPr>
        <w:t>dans </w:t>
      </w:r>
      <w:r>
        <w:rPr/>
        <w:t>la </w:t>
      </w:r>
      <w:r>
        <w:rPr>
          <w:spacing w:val="4"/>
        </w:rPr>
        <w:t>formation, l'équipe pédagogique </w:t>
      </w:r>
      <w:r>
        <w:rPr>
          <w:spacing w:val="3"/>
        </w:rPr>
        <w:t>du </w:t>
      </w:r>
      <w:r>
        <w:rPr>
          <w:spacing w:val="4"/>
        </w:rPr>
        <w:t>centre </w:t>
      </w:r>
      <w:r>
        <w:rPr/>
        <w:t>de</w:t>
      </w:r>
      <w:r>
        <w:rPr>
          <w:spacing w:val="61"/>
        </w:rPr>
        <w:t> </w:t>
      </w:r>
      <w:r>
        <w:rPr>
          <w:spacing w:val="4"/>
        </w:rPr>
        <w:t>formation  </w:t>
      </w:r>
      <w:r>
        <w:rPr/>
        <w:t>d'apprentis doit veiller à informer le maître d'apprentissage des objectifs de la formation en milieu professionnel et des compétences à acquérir ou mettre en œuvre dans le contexte professionnel et des modalités de</w:t>
      </w:r>
      <w:r>
        <w:rPr>
          <w:spacing w:val="-3"/>
        </w:rPr>
        <w:t> </w:t>
      </w:r>
      <w:r>
        <w:rPr/>
        <w:t>certification.</w:t>
      </w:r>
    </w:p>
    <w:p>
      <w:pPr>
        <w:pStyle w:val="BodyText"/>
        <w:spacing w:line="218" w:lineRule="auto" w:before="118"/>
        <w:ind w:right="158"/>
        <w:jc w:val="both"/>
      </w:pPr>
      <w:r>
        <w:rPr/>
        <w:t>Les formations spécifiques obligatoires définies au 2.1 seront organisées en fonction de l‘activité de l’entreprise et des tâches confiées à l’apprenti.</w:t>
      </w:r>
    </w:p>
    <w:p>
      <w:pPr>
        <w:pStyle w:val="BodyText"/>
        <w:spacing w:before="1"/>
        <w:ind w:left="0"/>
        <w:rPr>
          <w:sz w:val="21"/>
        </w:rPr>
      </w:pPr>
    </w:p>
    <w:p>
      <w:pPr>
        <w:pStyle w:val="BodyText"/>
        <w:spacing w:line="216" w:lineRule="auto"/>
        <w:ind w:right="155"/>
        <w:jc w:val="both"/>
      </w:pPr>
      <w:r>
        <w:rPr/>
        <w:t>La formation de l’apprenti en milieu professionnel fait l’objet d’un suivi par l’équipe pédagogique  sous forme de</w:t>
      </w:r>
      <w:r>
        <w:rPr>
          <w:spacing w:val="-3"/>
        </w:rPr>
        <w:t> </w:t>
      </w:r>
      <w:r>
        <w:rPr/>
        <w:t>visites.</w:t>
      </w:r>
    </w:p>
    <w:p>
      <w:pPr>
        <w:pStyle w:val="BodyText"/>
        <w:spacing w:line="218" w:lineRule="auto" w:before="121"/>
        <w:ind w:right="134"/>
        <w:jc w:val="both"/>
      </w:pPr>
      <w:r>
        <w:rPr/>
        <w:t>Il est important que les divers aspects de la formation en milieu professionnel soient effectués par l'apprenti. En cas de situation d'entreprise ne couvrant pas l’ensemble des secteurs d’activité, l'article R.6223-10 du code du travail est mis en</w:t>
      </w:r>
      <w:r>
        <w:rPr>
          <w:spacing w:val="-31"/>
        </w:rPr>
        <w:t> </w:t>
      </w:r>
      <w:r>
        <w:rPr/>
        <w:t>application.</w:t>
      </w:r>
    </w:p>
    <w:p>
      <w:pPr>
        <w:pStyle w:val="BodyText"/>
        <w:ind w:left="0"/>
        <w:rPr>
          <w:sz w:val="24"/>
        </w:rPr>
      </w:pPr>
    </w:p>
    <w:p>
      <w:pPr>
        <w:pStyle w:val="Heading2"/>
        <w:numPr>
          <w:ilvl w:val="1"/>
          <w:numId w:val="1"/>
        </w:numPr>
        <w:tabs>
          <w:tab w:pos="581" w:val="left" w:leader="none"/>
        </w:tabs>
        <w:spacing w:line="240" w:lineRule="auto" w:before="196" w:after="0"/>
        <w:ind w:left="580" w:right="0" w:hanging="471"/>
        <w:jc w:val="both"/>
        <w:rPr>
          <w:i/>
        </w:rPr>
      </w:pPr>
      <w:r>
        <w:rPr>
          <w:i/>
        </w:rPr>
        <w:t>Candidats relevant de la voie de la formation</w:t>
      </w:r>
      <w:r>
        <w:rPr>
          <w:i/>
          <w:spacing w:val="-5"/>
        </w:rPr>
        <w:t> </w:t>
      </w:r>
      <w:r>
        <w:rPr>
          <w:i/>
        </w:rPr>
        <w:t>continue</w:t>
      </w:r>
    </w:p>
    <w:p>
      <w:pPr>
        <w:pStyle w:val="BodyText"/>
        <w:spacing w:before="8"/>
        <w:ind w:left="0"/>
        <w:rPr>
          <w:b/>
          <w:i/>
          <w:sz w:val="20"/>
        </w:rPr>
      </w:pPr>
    </w:p>
    <w:p>
      <w:pPr>
        <w:pStyle w:val="Heading3"/>
        <w:numPr>
          <w:ilvl w:val="2"/>
          <w:numId w:val="3"/>
        </w:numPr>
        <w:tabs>
          <w:tab w:pos="780" w:val="left" w:leader="none"/>
        </w:tabs>
        <w:spacing w:line="240" w:lineRule="auto" w:before="0" w:after="0"/>
        <w:ind w:left="779" w:right="0" w:hanging="670"/>
        <w:jc w:val="both"/>
        <w:rPr>
          <w:i/>
        </w:rPr>
      </w:pPr>
      <w:r>
        <w:rPr>
          <w:i/>
        </w:rPr>
        <w:t>Candidat en situation de première formation pour ce diplôme ou de</w:t>
      </w:r>
      <w:r>
        <w:rPr>
          <w:i/>
          <w:spacing w:val="-13"/>
        </w:rPr>
        <w:t> </w:t>
      </w:r>
      <w:r>
        <w:rPr>
          <w:i/>
        </w:rPr>
        <w:t>reconversion</w:t>
      </w:r>
    </w:p>
    <w:p>
      <w:pPr>
        <w:pStyle w:val="BodyText"/>
        <w:spacing w:before="230"/>
        <w:ind w:right="102"/>
        <w:jc w:val="both"/>
      </w:pPr>
      <w:r>
        <w:rPr/>
        <w:t>La </w:t>
      </w:r>
      <w:r>
        <w:rPr>
          <w:spacing w:val="2"/>
        </w:rPr>
        <w:t>durée </w:t>
      </w:r>
      <w:r>
        <w:rPr/>
        <w:t>de la </w:t>
      </w:r>
      <w:r>
        <w:rPr>
          <w:spacing w:val="2"/>
        </w:rPr>
        <w:t>formation </w:t>
      </w:r>
      <w:r>
        <w:rPr/>
        <w:t>en </w:t>
      </w:r>
      <w:r>
        <w:rPr>
          <w:spacing w:val="2"/>
        </w:rPr>
        <w:t>milieu </w:t>
      </w:r>
      <w:r>
        <w:rPr>
          <w:spacing w:val="3"/>
        </w:rPr>
        <w:t>professionnel (16 </w:t>
      </w:r>
      <w:r>
        <w:rPr>
          <w:spacing w:val="2"/>
        </w:rPr>
        <w:t>semaines) s'ajoute aux durées </w:t>
      </w:r>
      <w:r>
        <w:rPr/>
        <w:t>de </w:t>
      </w:r>
      <w:r>
        <w:rPr>
          <w:spacing w:val="3"/>
        </w:rPr>
        <w:t>formation </w:t>
      </w:r>
      <w:r>
        <w:rPr/>
        <w:t>dispensées dans   le   centre  de  formation   continue   conformément   au   règlement  général des </w:t>
      </w:r>
      <w:r>
        <w:rPr>
          <w:spacing w:val="-2"/>
        </w:rPr>
        <w:t>CAP </w:t>
      </w:r>
      <w:r>
        <w:rPr/>
        <w:t>qui précise par ailleurs les durées minimales de formation nécessaires pour les candidats de la formation professionnelle</w:t>
      </w:r>
      <w:r>
        <w:rPr>
          <w:spacing w:val="-3"/>
        </w:rPr>
        <w:t> </w:t>
      </w:r>
      <w:r>
        <w:rPr/>
        <w:t>continue.</w:t>
      </w:r>
    </w:p>
    <w:p>
      <w:pPr>
        <w:pStyle w:val="BodyText"/>
        <w:spacing w:before="119"/>
        <w:ind w:right="104"/>
        <w:jc w:val="both"/>
      </w:pPr>
      <w:r>
        <w:rPr/>
        <w:t>Lorsque cette formation s'effectue dans le cadre d'un contrat de travail de type particulier, la formation en milieu professionnel obligatoire est incluse dans la période de formation dispensée en milieu professionnel si les activités effectuées sont en cohérence avec les exigences du référentiel et conformes aux objectifs. Dans ce cas, l’entreprise atteste que la formation s'est effectuée dans le cadre d'un contrat de travail de type particulier.</w:t>
      </w:r>
    </w:p>
    <w:p>
      <w:pPr>
        <w:pStyle w:val="BodyText"/>
        <w:spacing w:line="216" w:lineRule="auto" w:before="119"/>
        <w:ind w:right="101"/>
        <w:jc w:val="both"/>
      </w:pPr>
      <w:r>
        <w:rPr/>
        <w:t>Il appartient au centre de formation continue de mettre en œuvre les moyens qui assurent l'acquisition des compétences que le stagiaire ne peut pas acquérir en entreprise.</w:t>
      </w:r>
    </w:p>
    <w:p>
      <w:pPr>
        <w:pStyle w:val="BodyText"/>
        <w:spacing w:before="98"/>
        <w:jc w:val="both"/>
      </w:pPr>
      <w:r>
        <w:rPr/>
        <w:t>Les modalités de formation en milieu professionnel sont les mêmes que pour les candidats scolaires.</w:t>
      </w:r>
    </w:p>
    <w:p>
      <w:pPr>
        <w:pStyle w:val="BodyText"/>
        <w:spacing w:before="3"/>
        <w:ind w:left="0"/>
        <w:rPr>
          <w:sz w:val="27"/>
        </w:rPr>
      </w:pPr>
    </w:p>
    <w:p>
      <w:pPr>
        <w:pStyle w:val="Heading3"/>
        <w:numPr>
          <w:ilvl w:val="2"/>
          <w:numId w:val="3"/>
        </w:numPr>
        <w:tabs>
          <w:tab w:pos="780" w:val="left" w:leader="none"/>
        </w:tabs>
        <w:spacing w:line="240" w:lineRule="auto" w:before="0" w:after="0"/>
        <w:ind w:left="779" w:right="0" w:hanging="670"/>
        <w:jc w:val="both"/>
        <w:rPr>
          <w:i/>
        </w:rPr>
      </w:pPr>
      <w:r>
        <w:rPr>
          <w:i/>
        </w:rPr>
        <w:t>Candidat en situation de</w:t>
      </w:r>
      <w:r>
        <w:rPr>
          <w:i/>
          <w:spacing w:val="-5"/>
        </w:rPr>
        <w:t> </w:t>
      </w:r>
      <w:r>
        <w:rPr>
          <w:i/>
        </w:rPr>
        <w:t>perfectionnement</w:t>
      </w:r>
    </w:p>
    <w:p>
      <w:pPr>
        <w:pStyle w:val="BodyText"/>
        <w:spacing w:before="230"/>
        <w:ind w:right="103"/>
        <w:jc w:val="both"/>
      </w:pPr>
      <w:r>
        <w:rPr/>
        <w:t>Les attestations de formation en milieu professionnel sont remplacées par un ou plusieurs certificats de travail attestant que l'intéressé a exercé les activités dans un ou plusieurs secteurs d'activités du CAP en qualité de salarié à temps plein, pendant six mois au cours de l'année précédant l'examen, ou à temps partiel pendant un an au cours des deux années précédant l'examen.</w:t>
      </w:r>
    </w:p>
    <w:p>
      <w:pPr>
        <w:pStyle w:val="BodyText"/>
        <w:ind w:left="0"/>
        <w:rPr>
          <w:sz w:val="24"/>
        </w:rPr>
      </w:pPr>
    </w:p>
    <w:p>
      <w:pPr>
        <w:pStyle w:val="BodyText"/>
        <w:spacing w:before="4"/>
        <w:ind w:left="0"/>
        <w:rPr>
          <w:sz w:val="34"/>
        </w:rPr>
      </w:pPr>
    </w:p>
    <w:p>
      <w:pPr>
        <w:pStyle w:val="Heading2"/>
        <w:numPr>
          <w:ilvl w:val="1"/>
          <w:numId w:val="4"/>
        </w:numPr>
        <w:tabs>
          <w:tab w:pos="581" w:val="left" w:leader="none"/>
        </w:tabs>
        <w:spacing w:line="240" w:lineRule="auto" w:before="0" w:after="0"/>
        <w:ind w:left="580" w:right="0" w:hanging="471"/>
        <w:jc w:val="both"/>
        <w:rPr>
          <w:i/>
        </w:rPr>
      </w:pPr>
      <w:r>
        <w:rPr>
          <w:i/>
        </w:rPr>
        <w:t>Candidat qui se présente au titre de trois années d'expérience</w:t>
      </w:r>
      <w:r>
        <w:rPr>
          <w:i/>
          <w:spacing w:val="-9"/>
        </w:rPr>
        <w:t> </w:t>
      </w:r>
      <w:r>
        <w:rPr>
          <w:i/>
        </w:rPr>
        <w:t>professionnelle</w:t>
      </w:r>
    </w:p>
    <w:p>
      <w:pPr>
        <w:pStyle w:val="BodyText"/>
        <w:spacing w:before="2"/>
        <w:ind w:left="0"/>
        <w:rPr>
          <w:b/>
          <w:i/>
          <w:sz w:val="21"/>
        </w:rPr>
      </w:pPr>
    </w:p>
    <w:p>
      <w:pPr>
        <w:pStyle w:val="BodyText"/>
        <w:spacing w:line="213" w:lineRule="auto"/>
        <w:ind w:right="109"/>
        <w:jc w:val="both"/>
      </w:pPr>
      <w:r>
        <w:rPr/>
        <w:t>Le candidat doit justifier de trois années d'expériences professionnelles dans un emploi qualifié correspondant aux objectifs du CAP pour lequel il s'inscrit. Le candidat produit ses certificats de travail pour l'inscription à l'examen.</w:t>
      </w:r>
    </w:p>
    <w:p>
      <w:pPr>
        <w:pStyle w:val="BodyText"/>
        <w:ind w:left="0"/>
        <w:rPr>
          <w:sz w:val="24"/>
        </w:rPr>
      </w:pPr>
    </w:p>
    <w:p>
      <w:pPr>
        <w:pStyle w:val="BodyText"/>
        <w:spacing w:before="6"/>
        <w:ind w:left="0"/>
        <w:rPr>
          <w:sz w:val="30"/>
        </w:rPr>
      </w:pPr>
    </w:p>
    <w:p>
      <w:pPr>
        <w:pStyle w:val="Heading2"/>
        <w:numPr>
          <w:ilvl w:val="1"/>
          <w:numId w:val="4"/>
        </w:numPr>
        <w:tabs>
          <w:tab w:pos="579" w:val="left" w:leader="none"/>
        </w:tabs>
        <w:spacing w:line="240" w:lineRule="auto" w:before="0" w:after="0"/>
        <w:ind w:left="578" w:right="0" w:hanging="469"/>
        <w:jc w:val="both"/>
        <w:rPr>
          <w:i/>
        </w:rPr>
      </w:pPr>
      <w:r>
        <w:rPr>
          <w:i/>
        </w:rPr>
        <w:t>Positionnement</w:t>
      </w:r>
    </w:p>
    <w:p>
      <w:pPr>
        <w:pStyle w:val="BodyText"/>
        <w:spacing w:before="4"/>
        <w:ind w:left="0"/>
        <w:rPr>
          <w:b/>
          <w:i/>
          <w:sz w:val="20"/>
        </w:rPr>
      </w:pPr>
    </w:p>
    <w:p>
      <w:pPr>
        <w:pStyle w:val="BodyText"/>
        <w:spacing w:line="213" w:lineRule="auto"/>
        <w:ind w:right="105"/>
        <w:jc w:val="both"/>
      </w:pPr>
      <w:r>
        <w:rPr>
          <w:spacing w:val="4"/>
        </w:rPr>
        <w:t>Pour </w:t>
      </w:r>
      <w:r>
        <w:rPr>
          <w:spacing w:val="3"/>
        </w:rPr>
        <w:t>les </w:t>
      </w:r>
      <w:r>
        <w:rPr>
          <w:spacing w:val="4"/>
        </w:rPr>
        <w:t>candidats mentionnés </w:t>
      </w:r>
      <w:r>
        <w:rPr/>
        <w:t>à </w:t>
      </w:r>
      <w:r>
        <w:rPr>
          <w:spacing w:val="4"/>
        </w:rPr>
        <w:t>l’article </w:t>
      </w:r>
      <w:r>
        <w:rPr/>
        <w:t>D </w:t>
      </w:r>
      <w:r>
        <w:rPr>
          <w:spacing w:val="4"/>
        </w:rPr>
        <w:t>337-18 </w:t>
      </w:r>
      <w:r>
        <w:rPr>
          <w:spacing w:val="3"/>
        </w:rPr>
        <w:t>du code de </w:t>
      </w:r>
      <w:r>
        <w:rPr>
          <w:spacing w:val="4"/>
        </w:rPr>
        <w:t>l’éducation </w:t>
      </w:r>
      <w:r>
        <w:rPr/>
        <w:t>et bénéficiant  d’une procédure de positionnement, la durée de la formation en milieu professionnel ne peut être inférieure à 8 semaines.</w:t>
      </w:r>
    </w:p>
    <w:sectPr>
      <w:pgSz w:w="11910" w:h="16840"/>
      <w:pgMar w:top="480" w:bottom="280" w:left="740" w:right="4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2"/>
      <w:numFmt w:val="decimal"/>
      <w:lvlText w:val="%1"/>
      <w:lvlJc w:val="left"/>
      <w:pPr>
        <w:ind w:left="580" w:hanging="471"/>
        <w:jc w:val="left"/>
      </w:pPr>
      <w:rPr>
        <w:rFonts w:hint="default"/>
        <w:lang w:val="fr-FR" w:eastAsia="fr-FR" w:bidi="fr-FR"/>
      </w:rPr>
    </w:lvl>
    <w:lvl w:ilvl="1">
      <w:start w:val="4"/>
      <w:numFmt w:val="decimal"/>
      <w:lvlText w:val="%1.%2."/>
      <w:lvlJc w:val="left"/>
      <w:pPr>
        <w:ind w:left="580" w:hanging="471"/>
        <w:jc w:val="left"/>
      </w:pPr>
      <w:rPr>
        <w:rFonts w:hint="default" w:ascii="Arial" w:hAnsi="Arial" w:eastAsia="Arial" w:cs="Arial"/>
        <w:b/>
        <w:bCs/>
        <w:i/>
        <w:w w:val="99"/>
        <w:sz w:val="24"/>
        <w:szCs w:val="24"/>
        <w:lang w:val="fr-FR" w:eastAsia="fr-FR" w:bidi="fr-FR"/>
      </w:rPr>
    </w:lvl>
    <w:lvl w:ilvl="2">
      <w:start w:val="0"/>
      <w:numFmt w:val="bullet"/>
      <w:lvlText w:val="•"/>
      <w:lvlJc w:val="left"/>
      <w:pPr>
        <w:ind w:left="2605" w:hanging="471"/>
      </w:pPr>
      <w:rPr>
        <w:rFonts w:hint="default"/>
        <w:lang w:val="fr-FR" w:eastAsia="fr-FR" w:bidi="fr-FR"/>
      </w:rPr>
    </w:lvl>
    <w:lvl w:ilvl="3">
      <w:start w:val="0"/>
      <w:numFmt w:val="bullet"/>
      <w:lvlText w:val="•"/>
      <w:lvlJc w:val="left"/>
      <w:pPr>
        <w:ind w:left="3617" w:hanging="471"/>
      </w:pPr>
      <w:rPr>
        <w:rFonts w:hint="default"/>
        <w:lang w:val="fr-FR" w:eastAsia="fr-FR" w:bidi="fr-FR"/>
      </w:rPr>
    </w:lvl>
    <w:lvl w:ilvl="4">
      <w:start w:val="0"/>
      <w:numFmt w:val="bullet"/>
      <w:lvlText w:val="•"/>
      <w:lvlJc w:val="left"/>
      <w:pPr>
        <w:ind w:left="4630" w:hanging="471"/>
      </w:pPr>
      <w:rPr>
        <w:rFonts w:hint="default"/>
        <w:lang w:val="fr-FR" w:eastAsia="fr-FR" w:bidi="fr-FR"/>
      </w:rPr>
    </w:lvl>
    <w:lvl w:ilvl="5">
      <w:start w:val="0"/>
      <w:numFmt w:val="bullet"/>
      <w:lvlText w:val="•"/>
      <w:lvlJc w:val="left"/>
      <w:pPr>
        <w:ind w:left="5643" w:hanging="471"/>
      </w:pPr>
      <w:rPr>
        <w:rFonts w:hint="default"/>
        <w:lang w:val="fr-FR" w:eastAsia="fr-FR" w:bidi="fr-FR"/>
      </w:rPr>
    </w:lvl>
    <w:lvl w:ilvl="6">
      <w:start w:val="0"/>
      <w:numFmt w:val="bullet"/>
      <w:lvlText w:val="•"/>
      <w:lvlJc w:val="left"/>
      <w:pPr>
        <w:ind w:left="6655" w:hanging="471"/>
      </w:pPr>
      <w:rPr>
        <w:rFonts w:hint="default"/>
        <w:lang w:val="fr-FR" w:eastAsia="fr-FR" w:bidi="fr-FR"/>
      </w:rPr>
    </w:lvl>
    <w:lvl w:ilvl="7">
      <w:start w:val="0"/>
      <w:numFmt w:val="bullet"/>
      <w:lvlText w:val="•"/>
      <w:lvlJc w:val="left"/>
      <w:pPr>
        <w:ind w:left="7668" w:hanging="471"/>
      </w:pPr>
      <w:rPr>
        <w:rFonts w:hint="default"/>
        <w:lang w:val="fr-FR" w:eastAsia="fr-FR" w:bidi="fr-FR"/>
      </w:rPr>
    </w:lvl>
    <w:lvl w:ilvl="8">
      <w:start w:val="0"/>
      <w:numFmt w:val="bullet"/>
      <w:lvlText w:val="•"/>
      <w:lvlJc w:val="left"/>
      <w:pPr>
        <w:ind w:left="8681" w:hanging="471"/>
      </w:pPr>
      <w:rPr>
        <w:rFonts w:hint="default"/>
        <w:lang w:val="fr-FR" w:eastAsia="fr-FR" w:bidi="fr-FR"/>
      </w:rPr>
    </w:lvl>
  </w:abstractNum>
  <w:abstractNum w:abstractNumId="2">
    <w:multiLevelType w:val="hybridMultilevel"/>
    <w:lvl w:ilvl="0">
      <w:start w:val="2"/>
      <w:numFmt w:val="decimal"/>
      <w:lvlText w:val="%1"/>
      <w:lvlJc w:val="left"/>
      <w:pPr>
        <w:ind w:left="779" w:hanging="671"/>
        <w:jc w:val="left"/>
      </w:pPr>
      <w:rPr>
        <w:rFonts w:hint="default"/>
        <w:lang w:val="fr-FR" w:eastAsia="fr-FR" w:bidi="fr-FR"/>
      </w:rPr>
    </w:lvl>
    <w:lvl w:ilvl="1">
      <w:start w:val="3"/>
      <w:numFmt w:val="decimal"/>
      <w:lvlText w:val="%1.%2"/>
      <w:lvlJc w:val="left"/>
      <w:pPr>
        <w:ind w:left="779" w:hanging="671"/>
        <w:jc w:val="left"/>
      </w:pPr>
      <w:rPr>
        <w:rFonts w:hint="default"/>
        <w:lang w:val="fr-FR" w:eastAsia="fr-FR" w:bidi="fr-FR"/>
      </w:rPr>
    </w:lvl>
    <w:lvl w:ilvl="2">
      <w:start w:val="1"/>
      <w:numFmt w:val="decimal"/>
      <w:lvlText w:val="%1.%2.%3."/>
      <w:lvlJc w:val="left"/>
      <w:pPr>
        <w:ind w:left="779" w:hanging="671"/>
        <w:jc w:val="left"/>
      </w:pPr>
      <w:rPr>
        <w:rFonts w:hint="default" w:ascii="Arial" w:hAnsi="Arial" w:eastAsia="Arial" w:cs="Arial"/>
        <w:i/>
        <w:spacing w:val="-2"/>
        <w:w w:val="99"/>
        <w:sz w:val="24"/>
        <w:szCs w:val="24"/>
        <w:lang w:val="fr-FR" w:eastAsia="fr-FR" w:bidi="fr-FR"/>
      </w:rPr>
    </w:lvl>
    <w:lvl w:ilvl="3">
      <w:start w:val="0"/>
      <w:numFmt w:val="bullet"/>
      <w:lvlText w:val="•"/>
      <w:lvlJc w:val="left"/>
      <w:pPr>
        <w:ind w:left="3757" w:hanging="671"/>
      </w:pPr>
      <w:rPr>
        <w:rFonts w:hint="default"/>
        <w:lang w:val="fr-FR" w:eastAsia="fr-FR" w:bidi="fr-FR"/>
      </w:rPr>
    </w:lvl>
    <w:lvl w:ilvl="4">
      <w:start w:val="0"/>
      <w:numFmt w:val="bullet"/>
      <w:lvlText w:val="•"/>
      <w:lvlJc w:val="left"/>
      <w:pPr>
        <w:ind w:left="4750" w:hanging="671"/>
      </w:pPr>
      <w:rPr>
        <w:rFonts w:hint="default"/>
        <w:lang w:val="fr-FR" w:eastAsia="fr-FR" w:bidi="fr-FR"/>
      </w:rPr>
    </w:lvl>
    <w:lvl w:ilvl="5">
      <w:start w:val="0"/>
      <w:numFmt w:val="bullet"/>
      <w:lvlText w:val="•"/>
      <w:lvlJc w:val="left"/>
      <w:pPr>
        <w:ind w:left="5743" w:hanging="671"/>
      </w:pPr>
      <w:rPr>
        <w:rFonts w:hint="default"/>
        <w:lang w:val="fr-FR" w:eastAsia="fr-FR" w:bidi="fr-FR"/>
      </w:rPr>
    </w:lvl>
    <w:lvl w:ilvl="6">
      <w:start w:val="0"/>
      <w:numFmt w:val="bullet"/>
      <w:lvlText w:val="•"/>
      <w:lvlJc w:val="left"/>
      <w:pPr>
        <w:ind w:left="6735" w:hanging="671"/>
      </w:pPr>
      <w:rPr>
        <w:rFonts w:hint="default"/>
        <w:lang w:val="fr-FR" w:eastAsia="fr-FR" w:bidi="fr-FR"/>
      </w:rPr>
    </w:lvl>
    <w:lvl w:ilvl="7">
      <w:start w:val="0"/>
      <w:numFmt w:val="bullet"/>
      <w:lvlText w:val="•"/>
      <w:lvlJc w:val="left"/>
      <w:pPr>
        <w:ind w:left="7728" w:hanging="671"/>
      </w:pPr>
      <w:rPr>
        <w:rFonts w:hint="default"/>
        <w:lang w:val="fr-FR" w:eastAsia="fr-FR" w:bidi="fr-FR"/>
      </w:rPr>
    </w:lvl>
    <w:lvl w:ilvl="8">
      <w:start w:val="0"/>
      <w:numFmt w:val="bullet"/>
      <w:lvlText w:val="•"/>
      <w:lvlJc w:val="left"/>
      <w:pPr>
        <w:ind w:left="8721" w:hanging="671"/>
      </w:pPr>
      <w:rPr>
        <w:rFonts w:hint="default"/>
        <w:lang w:val="fr-FR" w:eastAsia="fr-FR" w:bidi="fr-FR"/>
      </w:rPr>
    </w:lvl>
  </w:abstractNum>
  <w:abstractNum w:abstractNumId="1">
    <w:multiLevelType w:val="hybridMultilevel"/>
    <w:lvl w:ilvl="0">
      <w:start w:val="0"/>
      <w:numFmt w:val="bullet"/>
      <w:lvlText w:val="-"/>
      <w:lvlJc w:val="left"/>
      <w:pPr>
        <w:ind w:left="1242" w:hanging="336"/>
      </w:pPr>
      <w:rPr>
        <w:rFonts w:hint="default" w:ascii="Arial" w:hAnsi="Arial" w:eastAsia="Arial" w:cs="Arial"/>
        <w:w w:val="100"/>
        <w:sz w:val="22"/>
        <w:szCs w:val="22"/>
        <w:lang w:val="fr-FR" w:eastAsia="fr-FR" w:bidi="fr-FR"/>
      </w:rPr>
    </w:lvl>
    <w:lvl w:ilvl="1">
      <w:start w:val="0"/>
      <w:numFmt w:val="bullet"/>
      <w:lvlText w:val="•"/>
      <w:lvlJc w:val="left"/>
      <w:pPr>
        <w:ind w:left="2186" w:hanging="336"/>
      </w:pPr>
      <w:rPr>
        <w:rFonts w:hint="default"/>
        <w:lang w:val="fr-FR" w:eastAsia="fr-FR" w:bidi="fr-FR"/>
      </w:rPr>
    </w:lvl>
    <w:lvl w:ilvl="2">
      <w:start w:val="0"/>
      <w:numFmt w:val="bullet"/>
      <w:lvlText w:val="•"/>
      <w:lvlJc w:val="left"/>
      <w:pPr>
        <w:ind w:left="3133" w:hanging="336"/>
      </w:pPr>
      <w:rPr>
        <w:rFonts w:hint="default"/>
        <w:lang w:val="fr-FR" w:eastAsia="fr-FR" w:bidi="fr-FR"/>
      </w:rPr>
    </w:lvl>
    <w:lvl w:ilvl="3">
      <w:start w:val="0"/>
      <w:numFmt w:val="bullet"/>
      <w:lvlText w:val="•"/>
      <w:lvlJc w:val="left"/>
      <w:pPr>
        <w:ind w:left="4079" w:hanging="336"/>
      </w:pPr>
      <w:rPr>
        <w:rFonts w:hint="default"/>
        <w:lang w:val="fr-FR" w:eastAsia="fr-FR" w:bidi="fr-FR"/>
      </w:rPr>
    </w:lvl>
    <w:lvl w:ilvl="4">
      <w:start w:val="0"/>
      <w:numFmt w:val="bullet"/>
      <w:lvlText w:val="•"/>
      <w:lvlJc w:val="left"/>
      <w:pPr>
        <w:ind w:left="5026" w:hanging="336"/>
      </w:pPr>
      <w:rPr>
        <w:rFonts w:hint="default"/>
        <w:lang w:val="fr-FR" w:eastAsia="fr-FR" w:bidi="fr-FR"/>
      </w:rPr>
    </w:lvl>
    <w:lvl w:ilvl="5">
      <w:start w:val="0"/>
      <w:numFmt w:val="bullet"/>
      <w:lvlText w:val="•"/>
      <w:lvlJc w:val="left"/>
      <w:pPr>
        <w:ind w:left="5973" w:hanging="336"/>
      </w:pPr>
      <w:rPr>
        <w:rFonts w:hint="default"/>
        <w:lang w:val="fr-FR" w:eastAsia="fr-FR" w:bidi="fr-FR"/>
      </w:rPr>
    </w:lvl>
    <w:lvl w:ilvl="6">
      <w:start w:val="0"/>
      <w:numFmt w:val="bullet"/>
      <w:lvlText w:val="•"/>
      <w:lvlJc w:val="left"/>
      <w:pPr>
        <w:ind w:left="6919" w:hanging="336"/>
      </w:pPr>
      <w:rPr>
        <w:rFonts w:hint="default"/>
        <w:lang w:val="fr-FR" w:eastAsia="fr-FR" w:bidi="fr-FR"/>
      </w:rPr>
    </w:lvl>
    <w:lvl w:ilvl="7">
      <w:start w:val="0"/>
      <w:numFmt w:val="bullet"/>
      <w:lvlText w:val="•"/>
      <w:lvlJc w:val="left"/>
      <w:pPr>
        <w:ind w:left="7866" w:hanging="336"/>
      </w:pPr>
      <w:rPr>
        <w:rFonts w:hint="default"/>
        <w:lang w:val="fr-FR" w:eastAsia="fr-FR" w:bidi="fr-FR"/>
      </w:rPr>
    </w:lvl>
    <w:lvl w:ilvl="8">
      <w:start w:val="0"/>
      <w:numFmt w:val="bullet"/>
      <w:lvlText w:val="•"/>
      <w:lvlJc w:val="left"/>
      <w:pPr>
        <w:ind w:left="8813" w:hanging="336"/>
      </w:pPr>
      <w:rPr>
        <w:rFonts w:hint="default"/>
        <w:lang w:val="fr-FR" w:eastAsia="fr-FR" w:bidi="fr-FR"/>
      </w:rPr>
    </w:lvl>
  </w:abstractNum>
  <w:abstractNum w:abstractNumId="0">
    <w:multiLevelType w:val="hybridMultilevel"/>
    <w:lvl w:ilvl="0">
      <w:start w:val="1"/>
      <w:numFmt w:val="decimal"/>
      <w:lvlText w:val="%1."/>
      <w:lvlJc w:val="left"/>
      <w:pPr>
        <w:ind w:left="422" w:hanging="313"/>
        <w:jc w:val="left"/>
      </w:pPr>
      <w:rPr>
        <w:rFonts w:hint="default" w:ascii="Arial" w:hAnsi="Arial" w:eastAsia="Arial" w:cs="Arial"/>
        <w:b/>
        <w:bCs/>
        <w:w w:val="100"/>
        <w:sz w:val="28"/>
        <w:szCs w:val="28"/>
        <w:lang w:val="fr-FR" w:eastAsia="fr-FR" w:bidi="fr-FR"/>
      </w:rPr>
    </w:lvl>
    <w:lvl w:ilvl="1">
      <w:start w:val="1"/>
      <w:numFmt w:val="decimal"/>
      <w:lvlText w:val="%1.%2."/>
      <w:lvlJc w:val="left"/>
      <w:pPr>
        <w:ind w:left="580" w:hanging="471"/>
        <w:jc w:val="left"/>
      </w:pPr>
      <w:rPr>
        <w:rFonts w:hint="default" w:ascii="Arial" w:hAnsi="Arial" w:eastAsia="Arial" w:cs="Arial"/>
        <w:b/>
        <w:bCs/>
        <w:i/>
        <w:w w:val="99"/>
        <w:sz w:val="24"/>
        <w:szCs w:val="24"/>
        <w:lang w:val="fr-FR" w:eastAsia="fr-FR" w:bidi="fr-FR"/>
      </w:rPr>
    </w:lvl>
    <w:lvl w:ilvl="2">
      <w:start w:val="0"/>
      <w:numFmt w:val="bullet"/>
      <w:lvlText w:val="-"/>
      <w:lvlJc w:val="left"/>
      <w:pPr>
        <w:ind w:left="1266" w:hanging="336"/>
      </w:pPr>
      <w:rPr>
        <w:rFonts w:hint="default" w:ascii="Arial" w:hAnsi="Arial" w:eastAsia="Arial" w:cs="Arial"/>
        <w:w w:val="100"/>
        <w:sz w:val="22"/>
        <w:szCs w:val="22"/>
        <w:lang w:val="fr-FR" w:eastAsia="fr-FR" w:bidi="fr-FR"/>
      </w:rPr>
    </w:lvl>
    <w:lvl w:ilvl="3">
      <w:start w:val="0"/>
      <w:numFmt w:val="bullet"/>
      <w:lvlText w:val="•"/>
      <w:lvlJc w:val="left"/>
      <w:pPr>
        <w:ind w:left="2440" w:hanging="336"/>
      </w:pPr>
      <w:rPr>
        <w:rFonts w:hint="default"/>
        <w:lang w:val="fr-FR" w:eastAsia="fr-FR" w:bidi="fr-FR"/>
      </w:rPr>
    </w:lvl>
    <w:lvl w:ilvl="4">
      <w:start w:val="0"/>
      <w:numFmt w:val="bullet"/>
      <w:lvlText w:val="•"/>
      <w:lvlJc w:val="left"/>
      <w:pPr>
        <w:ind w:left="3621" w:hanging="336"/>
      </w:pPr>
      <w:rPr>
        <w:rFonts w:hint="default"/>
        <w:lang w:val="fr-FR" w:eastAsia="fr-FR" w:bidi="fr-FR"/>
      </w:rPr>
    </w:lvl>
    <w:lvl w:ilvl="5">
      <w:start w:val="0"/>
      <w:numFmt w:val="bullet"/>
      <w:lvlText w:val="•"/>
      <w:lvlJc w:val="left"/>
      <w:pPr>
        <w:ind w:left="4802" w:hanging="336"/>
      </w:pPr>
      <w:rPr>
        <w:rFonts w:hint="default"/>
        <w:lang w:val="fr-FR" w:eastAsia="fr-FR" w:bidi="fr-FR"/>
      </w:rPr>
    </w:lvl>
    <w:lvl w:ilvl="6">
      <w:start w:val="0"/>
      <w:numFmt w:val="bullet"/>
      <w:lvlText w:val="•"/>
      <w:lvlJc w:val="left"/>
      <w:pPr>
        <w:ind w:left="5983" w:hanging="336"/>
      </w:pPr>
      <w:rPr>
        <w:rFonts w:hint="default"/>
        <w:lang w:val="fr-FR" w:eastAsia="fr-FR" w:bidi="fr-FR"/>
      </w:rPr>
    </w:lvl>
    <w:lvl w:ilvl="7">
      <w:start w:val="0"/>
      <w:numFmt w:val="bullet"/>
      <w:lvlText w:val="•"/>
      <w:lvlJc w:val="left"/>
      <w:pPr>
        <w:ind w:left="7164" w:hanging="336"/>
      </w:pPr>
      <w:rPr>
        <w:rFonts w:hint="default"/>
        <w:lang w:val="fr-FR" w:eastAsia="fr-FR" w:bidi="fr-FR"/>
      </w:rPr>
    </w:lvl>
    <w:lvl w:ilvl="8">
      <w:start w:val="0"/>
      <w:numFmt w:val="bullet"/>
      <w:lvlText w:val="•"/>
      <w:lvlJc w:val="left"/>
      <w:pPr>
        <w:ind w:left="8344" w:hanging="336"/>
      </w:pPr>
      <w:rPr>
        <w:rFonts w:hint="default"/>
        <w:lang w:val="fr-FR" w:eastAsia="fr-FR" w:bidi="fr-FR"/>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fr-FR" w:eastAsia="fr-FR" w:bidi="fr-FR"/>
    </w:rPr>
  </w:style>
  <w:style w:styleId="BodyText" w:type="paragraph">
    <w:name w:val="Body Text"/>
    <w:basedOn w:val="Normal"/>
    <w:uiPriority w:val="1"/>
    <w:qFormat/>
    <w:pPr>
      <w:ind w:left="109"/>
    </w:pPr>
    <w:rPr>
      <w:rFonts w:ascii="Arial" w:hAnsi="Arial" w:eastAsia="Arial" w:cs="Arial"/>
      <w:sz w:val="22"/>
      <w:szCs w:val="22"/>
      <w:lang w:val="fr-FR" w:eastAsia="fr-FR" w:bidi="fr-FR"/>
    </w:rPr>
  </w:style>
  <w:style w:styleId="Heading1" w:type="paragraph">
    <w:name w:val="Heading 1"/>
    <w:basedOn w:val="Normal"/>
    <w:uiPriority w:val="1"/>
    <w:qFormat/>
    <w:pPr>
      <w:ind w:left="422" w:hanging="315"/>
      <w:outlineLvl w:val="1"/>
    </w:pPr>
    <w:rPr>
      <w:rFonts w:ascii="Arial" w:hAnsi="Arial" w:eastAsia="Arial" w:cs="Arial"/>
      <w:b/>
      <w:bCs/>
      <w:sz w:val="28"/>
      <w:szCs w:val="28"/>
      <w:u w:val="single" w:color="000000"/>
      <w:lang w:val="fr-FR" w:eastAsia="fr-FR" w:bidi="fr-FR"/>
    </w:rPr>
  </w:style>
  <w:style w:styleId="Heading2" w:type="paragraph">
    <w:name w:val="Heading 2"/>
    <w:basedOn w:val="Normal"/>
    <w:uiPriority w:val="1"/>
    <w:qFormat/>
    <w:pPr>
      <w:ind w:left="580" w:hanging="471"/>
      <w:jc w:val="both"/>
      <w:outlineLvl w:val="2"/>
    </w:pPr>
    <w:rPr>
      <w:rFonts w:ascii="Arial" w:hAnsi="Arial" w:eastAsia="Arial" w:cs="Arial"/>
      <w:b/>
      <w:bCs/>
      <w:i/>
      <w:sz w:val="24"/>
      <w:szCs w:val="24"/>
      <w:lang w:val="fr-FR" w:eastAsia="fr-FR" w:bidi="fr-FR"/>
    </w:rPr>
  </w:style>
  <w:style w:styleId="Heading3" w:type="paragraph">
    <w:name w:val="Heading 3"/>
    <w:basedOn w:val="Normal"/>
    <w:uiPriority w:val="1"/>
    <w:qFormat/>
    <w:pPr>
      <w:ind w:left="779" w:hanging="670"/>
      <w:jc w:val="both"/>
      <w:outlineLvl w:val="3"/>
    </w:pPr>
    <w:rPr>
      <w:rFonts w:ascii="Arial" w:hAnsi="Arial" w:eastAsia="Arial" w:cs="Arial"/>
      <w:i/>
      <w:sz w:val="24"/>
      <w:szCs w:val="24"/>
      <w:lang w:val="fr-FR" w:eastAsia="fr-FR" w:bidi="fr-FR"/>
    </w:rPr>
  </w:style>
  <w:style w:styleId="ListParagraph" w:type="paragraph">
    <w:name w:val="List Paragraph"/>
    <w:basedOn w:val="Normal"/>
    <w:uiPriority w:val="1"/>
    <w:qFormat/>
    <w:pPr>
      <w:ind w:left="1266" w:hanging="360"/>
    </w:pPr>
    <w:rPr>
      <w:rFonts w:ascii="Arial" w:hAnsi="Arial" w:eastAsia="Arial" w:cs="Arial"/>
      <w:lang w:val="fr-FR" w:eastAsia="fr-FR" w:bidi="fr-FR"/>
    </w:rPr>
  </w:style>
  <w:style w:styleId="TableParagraph" w:type="paragraph">
    <w:name w:val="Table Paragraph"/>
    <w:basedOn w:val="Normal"/>
    <w:uiPriority w:val="1"/>
    <w:qFormat/>
    <w:pPr/>
    <w:rPr>
      <w:lang w:val="fr-FR" w:eastAsia="fr-FR" w:bidi="fr-F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STSI</dc:creator>
  <dc:title>ANNEXE II – PERIODES DE FORMATION EN MILIEU PROFESSIONNEL</dc:title>
  <dcterms:created xsi:type="dcterms:W3CDTF">2018-06-19T10:01:47Z</dcterms:created>
  <dcterms:modified xsi:type="dcterms:W3CDTF">2018-06-19T10:01:47Z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2015-05-12T00:00:00Z</vt:filetime>
  </property>
  <property fmtid="{D5CDD505-2E9C-101B-9397-08002B2CF9AE}" pid="3" name="Creator">
    <vt:lpwstr>Microsoft® Word 2010</vt:lpwstr>
  </property>
  <property fmtid="{D5CDD505-2E9C-101B-9397-08002B2CF9AE}" pid="4" name="LastSaved">
    <vt:filetime>2018-06-19T00:00:00Z</vt:filetime>
  </property>
</Properties>
</file>