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61"/>
        <w:ind w:left="1031" w:right="0" w:firstLine="0"/>
        <w:jc w:val="left"/>
        <w:rPr>
          <w:b/>
          <w:sz w:val="36"/>
        </w:rPr>
      </w:pPr>
      <w:r>
        <w:rPr>
          <w:b/>
          <w:sz w:val="36"/>
        </w:rPr>
        <w:t>RÉFÉRENTIEL DES ACTIVITÉS PROFESSIONNELLES</w:t>
      </w:r>
    </w:p>
    <w:p>
      <w:pPr>
        <w:pStyle w:val="BodyText"/>
        <w:ind w:left="0" w:firstLine="0"/>
        <w:rPr>
          <w:b/>
          <w:sz w:val="40"/>
        </w:rPr>
      </w:pPr>
    </w:p>
    <w:p>
      <w:pPr>
        <w:pStyle w:val="BodyText"/>
        <w:spacing w:before="5"/>
        <w:ind w:left="0" w:firstLine="0"/>
        <w:rPr>
          <w:b/>
          <w:sz w:val="32"/>
        </w:rPr>
      </w:pPr>
    </w:p>
    <w:p>
      <w:pPr>
        <w:pStyle w:val="Heading1"/>
        <w:rPr>
          <w:u w:val="none"/>
        </w:rPr>
      </w:pPr>
      <w:r>
        <w:rPr>
          <w:rFonts w:ascii="Times New Roman" w:hAnsi="Times New Roman"/>
          <w:b w:val="0"/>
          <w:spacing w:val="-71"/>
          <w:w w:val="100"/>
          <w:u w:val="none"/>
        </w:rPr>
        <w:t> </w:t>
      </w:r>
      <w:r>
        <w:rPr>
          <w:u w:val="thick"/>
        </w:rPr>
        <w:t>Définition de l’emploi et secteurs professionnels</w:t>
      </w:r>
    </w:p>
    <w:p>
      <w:pPr>
        <w:pStyle w:val="BodyText"/>
        <w:spacing w:before="9"/>
        <w:ind w:left="0" w:firstLine="0"/>
        <w:rPr>
          <w:b/>
          <w:sz w:val="12"/>
        </w:rPr>
      </w:pPr>
    </w:p>
    <w:p>
      <w:pPr>
        <w:pStyle w:val="BodyText"/>
        <w:spacing w:before="94"/>
        <w:ind w:left="246" w:right="122" w:firstLine="0"/>
        <w:jc w:val="both"/>
      </w:pPr>
      <w:r>
        <w:rPr/>
        <w:t>Le titulaire du certificat d’aptitude professionnelle Propreté de l'Environnement urbain - Collecte et Recyclage est un professionnel qualifié, salarié d’une entreprise ou d’un organisme du secteur public ou privé, qui exerce les emplois suivants :</w:t>
      </w:r>
    </w:p>
    <w:p>
      <w:pPr>
        <w:pStyle w:val="ListParagraph"/>
        <w:numPr>
          <w:ilvl w:val="0"/>
          <w:numId w:val="1"/>
        </w:numPr>
        <w:tabs>
          <w:tab w:pos="966" w:val="left" w:leader="none"/>
          <w:tab w:pos="967" w:val="left" w:leader="none"/>
        </w:tabs>
        <w:spacing w:line="240" w:lineRule="auto" w:before="119" w:after="0"/>
        <w:ind w:left="966" w:right="0" w:hanging="362"/>
        <w:jc w:val="left"/>
        <w:rPr>
          <w:sz w:val="22"/>
        </w:rPr>
      </w:pPr>
      <w:r>
        <w:rPr>
          <w:sz w:val="22"/>
          <w:u w:val="single"/>
        </w:rPr>
        <w:t>Dans le secteur du nettoiement</w:t>
      </w:r>
      <w:r>
        <w:rPr>
          <w:sz w:val="22"/>
        </w:rPr>
        <w:t> :</w:t>
      </w:r>
    </w:p>
    <w:p>
      <w:pPr>
        <w:pStyle w:val="ListParagraph"/>
        <w:numPr>
          <w:ilvl w:val="1"/>
          <w:numId w:val="1"/>
        </w:numPr>
        <w:tabs>
          <w:tab w:pos="1662" w:val="left" w:leader="none"/>
          <w:tab w:pos="1663" w:val="left" w:leader="none"/>
        </w:tabs>
        <w:spacing w:line="263" w:lineRule="exact" w:before="118" w:after="0"/>
        <w:ind w:left="1662" w:right="0" w:hanging="336"/>
        <w:jc w:val="left"/>
        <w:rPr>
          <w:sz w:val="22"/>
        </w:rPr>
      </w:pPr>
      <w:r>
        <w:rPr>
          <w:sz w:val="22"/>
        </w:rPr>
        <w:t>agent de nettoiement</w:t>
      </w:r>
      <w:r>
        <w:rPr>
          <w:spacing w:val="-2"/>
          <w:sz w:val="22"/>
        </w:rPr>
        <w:t> </w:t>
      </w:r>
      <w:r>
        <w:rPr>
          <w:sz w:val="22"/>
        </w:rPr>
        <w:t>manuel,</w:t>
      </w:r>
    </w:p>
    <w:p>
      <w:pPr>
        <w:pStyle w:val="ListParagraph"/>
        <w:numPr>
          <w:ilvl w:val="1"/>
          <w:numId w:val="1"/>
        </w:numPr>
        <w:tabs>
          <w:tab w:pos="1662" w:val="left" w:leader="none"/>
          <w:tab w:pos="1663" w:val="left" w:leader="none"/>
        </w:tabs>
        <w:spacing w:line="253" w:lineRule="exact" w:before="0" w:after="0"/>
        <w:ind w:left="1662" w:right="0" w:hanging="336"/>
        <w:jc w:val="left"/>
        <w:rPr>
          <w:sz w:val="22"/>
        </w:rPr>
      </w:pPr>
      <w:r>
        <w:rPr>
          <w:sz w:val="22"/>
        </w:rPr>
        <w:t>agent de nettoiement</w:t>
      </w:r>
      <w:r>
        <w:rPr>
          <w:spacing w:val="-2"/>
          <w:sz w:val="22"/>
        </w:rPr>
        <w:t> </w:t>
      </w:r>
      <w:r>
        <w:rPr>
          <w:sz w:val="22"/>
        </w:rPr>
        <w:t>mécanisé,</w:t>
      </w:r>
    </w:p>
    <w:p>
      <w:pPr>
        <w:pStyle w:val="ListParagraph"/>
        <w:numPr>
          <w:ilvl w:val="1"/>
          <w:numId w:val="1"/>
        </w:numPr>
        <w:tabs>
          <w:tab w:pos="1662" w:val="left" w:leader="none"/>
          <w:tab w:pos="1663" w:val="left" w:leader="none"/>
        </w:tabs>
        <w:spacing w:line="262" w:lineRule="exact" w:before="0" w:after="0"/>
        <w:ind w:left="1662" w:right="0" w:hanging="336"/>
        <w:jc w:val="left"/>
        <w:rPr>
          <w:sz w:val="22"/>
        </w:rPr>
      </w:pPr>
      <w:r>
        <w:rPr>
          <w:sz w:val="22"/>
        </w:rPr>
        <w:t>conducteur d’engins de</w:t>
      </w:r>
      <w:r>
        <w:rPr>
          <w:spacing w:val="-6"/>
          <w:sz w:val="22"/>
        </w:rPr>
        <w:t> </w:t>
      </w:r>
      <w:r>
        <w:rPr>
          <w:sz w:val="22"/>
        </w:rPr>
        <w:t>nettoiement*;</w:t>
      </w:r>
    </w:p>
    <w:p>
      <w:pPr>
        <w:pStyle w:val="ListParagraph"/>
        <w:numPr>
          <w:ilvl w:val="0"/>
          <w:numId w:val="1"/>
        </w:numPr>
        <w:tabs>
          <w:tab w:pos="966" w:val="left" w:leader="none"/>
          <w:tab w:pos="967" w:val="left" w:leader="none"/>
        </w:tabs>
        <w:spacing w:line="240" w:lineRule="auto" w:before="102" w:after="0"/>
        <w:ind w:left="966" w:right="0" w:hanging="362"/>
        <w:jc w:val="left"/>
        <w:rPr>
          <w:sz w:val="22"/>
        </w:rPr>
      </w:pPr>
      <w:r>
        <w:rPr>
          <w:sz w:val="22"/>
          <w:u w:val="single"/>
        </w:rPr>
        <w:t>Dans le secteur de la collecte des déchets</w:t>
      </w:r>
      <w:r>
        <w:rPr>
          <w:spacing w:val="-12"/>
          <w:sz w:val="22"/>
        </w:rPr>
        <w:t> </w:t>
      </w:r>
      <w:r>
        <w:rPr>
          <w:sz w:val="22"/>
        </w:rPr>
        <w:t>:</w:t>
      </w:r>
    </w:p>
    <w:p>
      <w:pPr>
        <w:pStyle w:val="ListParagraph"/>
        <w:numPr>
          <w:ilvl w:val="1"/>
          <w:numId w:val="1"/>
        </w:numPr>
        <w:tabs>
          <w:tab w:pos="1662" w:val="left" w:leader="none"/>
          <w:tab w:pos="1663" w:val="left" w:leader="none"/>
        </w:tabs>
        <w:spacing w:line="263" w:lineRule="exact" w:before="118" w:after="0"/>
        <w:ind w:left="1662" w:right="0" w:hanging="336"/>
        <w:jc w:val="left"/>
        <w:rPr>
          <w:sz w:val="22"/>
        </w:rPr>
      </w:pPr>
      <w:r>
        <w:rPr>
          <w:sz w:val="22"/>
        </w:rPr>
        <w:t>agent ou équipier de</w:t>
      </w:r>
      <w:r>
        <w:rPr>
          <w:spacing w:val="-6"/>
          <w:sz w:val="22"/>
        </w:rPr>
        <w:t> </w:t>
      </w:r>
      <w:r>
        <w:rPr>
          <w:sz w:val="22"/>
        </w:rPr>
        <w:t>collecte,</w:t>
      </w:r>
    </w:p>
    <w:p>
      <w:pPr>
        <w:pStyle w:val="ListParagraph"/>
        <w:numPr>
          <w:ilvl w:val="1"/>
          <w:numId w:val="1"/>
        </w:numPr>
        <w:tabs>
          <w:tab w:pos="1662" w:val="left" w:leader="none"/>
          <w:tab w:pos="1663" w:val="left" w:leader="none"/>
        </w:tabs>
        <w:spacing w:line="253" w:lineRule="exact" w:before="0" w:after="0"/>
        <w:ind w:left="1662" w:right="0" w:hanging="336"/>
        <w:jc w:val="left"/>
        <w:rPr>
          <w:sz w:val="22"/>
        </w:rPr>
      </w:pPr>
      <w:r>
        <w:rPr>
          <w:sz w:val="22"/>
        </w:rPr>
        <w:t>conducteur de benne à ordures</w:t>
      </w:r>
      <w:r>
        <w:rPr>
          <w:spacing w:val="-10"/>
          <w:sz w:val="22"/>
        </w:rPr>
        <w:t> </w:t>
      </w:r>
      <w:r>
        <w:rPr>
          <w:sz w:val="22"/>
        </w:rPr>
        <w:t>ménagères*,</w:t>
      </w:r>
    </w:p>
    <w:p>
      <w:pPr>
        <w:pStyle w:val="ListParagraph"/>
        <w:numPr>
          <w:ilvl w:val="1"/>
          <w:numId w:val="1"/>
        </w:numPr>
        <w:tabs>
          <w:tab w:pos="1662" w:val="left" w:leader="none"/>
          <w:tab w:pos="1663" w:val="left" w:leader="none"/>
        </w:tabs>
        <w:spacing w:line="252" w:lineRule="exact" w:before="0" w:after="0"/>
        <w:ind w:left="1662" w:right="0" w:hanging="336"/>
        <w:jc w:val="left"/>
        <w:rPr>
          <w:sz w:val="22"/>
        </w:rPr>
      </w:pPr>
      <w:r>
        <w:rPr>
          <w:sz w:val="22"/>
        </w:rPr>
        <w:t>conducteur de bennes à déchets</w:t>
      </w:r>
      <w:r>
        <w:rPr>
          <w:spacing w:val="-11"/>
          <w:sz w:val="22"/>
        </w:rPr>
        <w:t> </w:t>
      </w:r>
      <w:r>
        <w:rPr>
          <w:sz w:val="22"/>
        </w:rPr>
        <w:t>industriels*,</w:t>
      </w:r>
    </w:p>
    <w:p>
      <w:pPr>
        <w:pStyle w:val="ListParagraph"/>
        <w:numPr>
          <w:ilvl w:val="1"/>
          <w:numId w:val="1"/>
        </w:numPr>
        <w:tabs>
          <w:tab w:pos="1662" w:val="left" w:leader="none"/>
          <w:tab w:pos="1663" w:val="left" w:leader="none"/>
        </w:tabs>
        <w:spacing w:line="253" w:lineRule="exact" w:before="0" w:after="0"/>
        <w:ind w:left="1662" w:right="0" w:hanging="336"/>
        <w:jc w:val="left"/>
        <w:rPr>
          <w:sz w:val="22"/>
        </w:rPr>
      </w:pPr>
      <w:r>
        <w:rPr>
          <w:sz w:val="22"/>
        </w:rPr>
        <w:t>ambassadeur de</w:t>
      </w:r>
      <w:r>
        <w:rPr>
          <w:spacing w:val="-2"/>
          <w:sz w:val="22"/>
        </w:rPr>
        <w:t> </w:t>
      </w:r>
      <w:r>
        <w:rPr>
          <w:sz w:val="22"/>
        </w:rPr>
        <w:t>tri,</w:t>
      </w:r>
    </w:p>
    <w:p>
      <w:pPr>
        <w:pStyle w:val="ListParagraph"/>
        <w:numPr>
          <w:ilvl w:val="1"/>
          <w:numId w:val="1"/>
        </w:numPr>
        <w:tabs>
          <w:tab w:pos="1662" w:val="left" w:leader="none"/>
          <w:tab w:pos="1663" w:val="left" w:leader="none"/>
        </w:tabs>
        <w:spacing w:line="253" w:lineRule="exact" w:before="0" w:after="0"/>
        <w:ind w:left="1662" w:right="0" w:hanging="336"/>
        <w:jc w:val="left"/>
        <w:rPr>
          <w:sz w:val="22"/>
        </w:rPr>
      </w:pPr>
      <w:r>
        <w:rPr>
          <w:sz w:val="22"/>
        </w:rPr>
        <w:t>agent d’accueil et de contrôle de</w:t>
      </w:r>
      <w:r>
        <w:rPr>
          <w:spacing w:val="-5"/>
          <w:sz w:val="22"/>
        </w:rPr>
        <w:t> </w:t>
      </w:r>
      <w:r>
        <w:rPr>
          <w:sz w:val="22"/>
        </w:rPr>
        <w:t>déchetterie,</w:t>
      </w:r>
    </w:p>
    <w:p>
      <w:pPr>
        <w:pStyle w:val="ListParagraph"/>
        <w:numPr>
          <w:ilvl w:val="1"/>
          <w:numId w:val="1"/>
        </w:numPr>
        <w:tabs>
          <w:tab w:pos="1662" w:val="left" w:leader="none"/>
          <w:tab w:pos="1663" w:val="left" w:leader="none"/>
        </w:tabs>
        <w:spacing w:line="262" w:lineRule="exact" w:before="0" w:after="0"/>
        <w:ind w:left="1662" w:right="0" w:hanging="336"/>
        <w:jc w:val="left"/>
        <w:rPr>
          <w:sz w:val="22"/>
        </w:rPr>
      </w:pPr>
      <w:r>
        <w:rPr>
          <w:sz w:val="22"/>
        </w:rPr>
        <w:t>conducteur d’engins de</w:t>
      </w:r>
      <w:r>
        <w:rPr>
          <w:spacing w:val="-4"/>
          <w:sz w:val="22"/>
        </w:rPr>
        <w:t> </w:t>
      </w:r>
      <w:r>
        <w:rPr>
          <w:sz w:val="22"/>
        </w:rPr>
        <w:t>transfert*;</w:t>
      </w:r>
    </w:p>
    <w:p>
      <w:pPr>
        <w:pStyle w:val="ListParagraph"/>
        <w:numPr>
          <w:ilvl w:val="0"/>
          <w:numId w:val="1"/>
        </w:numPr>
        <w:tabs>
          <w:tab w:pos="966" w:val="left" w:leader="none"/>
          <w:tab w:pos="967" w:val="left" w:leader="none"/>
        </w:tabs>
        <w:spacing w:line="240" w:lineRule="auto" w:before="102" w:after="0"/>
        <w:ind w:left="966" w:right="0" w:hanging="362"/>
        <w:jc w:val="left"/>
        <w:rPr>
          <w:sz w:val="22"/>
        </w:rPr>
      </w:pPr>
      <w:r>
        <w:rPr>
          <w:sz w:val="22"/>
          <w:u w:val="single"/>
        </w:rPr>
        <w:t>Dans le secteur du traitement et de la valorisation des déchets</w:t>
      </w:r>
      <w:r>
        <w:rPr>
          <w:spacing w:val="-6"/>
          <w:sz w:val="22"/>
        </w:rPr>
        <w:t> </w:t>
      </w:r>
      <w:r>
        <w:rPr>
          <w:sz w:val="22"/>
        </w:rPr>
        <w:t>:</w:t>
      </w:r>
    </w:p>
    <w:p>
      <w:pPr>
        <w:pStyle w:val="ListParagraph"/>
        <w:numPr>
          <w:ilvl w:val="1"/>
          <w:numId w:val="1"/>
        </w:numPr>
        <w:tabs>
          <w:tab w:pos="1662" w:val="left" w:leader="none"/>
          <w:tab w:pos="1663" w:val="left" w:leader="none"/>
        </w:tabs>
        <w:spacing w:line="262" w:lineRule="exact" w:before="118" w:after="0"/>
        <w:ind w:left="1662" w:right="0" w:hanging="336"/>
        <w:jc w:val="left"/>
        <w:rPr>
          <w:sz w:val="22"/>
        </w:rPr>
      </w:pPr>
      <w:r>
        <w:rPr>
          <w:sz w:val="22"/>
        </w:rPr>
        <w:t>agent d’accueil, de pesée, d’enregistrement des</w:t>
      </w:r>
      <w:r>
        <w:rPr>
          <w:spacing w:val="-4"/>
          <w:sz w:val="22"/>
        </w:rPr>
        <w:t> </w:t>
      </w:r>
      <w:r>
        <w:rPr>
          <w:sz w:val="22"/>
        </w:rPr>
        <w:t>déchets,</w:t>
      </w:r>
    </w:p>
    <w:p>
      <w:pPr>
        <w:pStyle w:val="ListParagraph"/>
        <w:numPr>
          <w:ilvl w:val="1"/>
          <w:numId w:val="1"/>
        </w:numPr>
        <w:tabs>
          <w:tab w:pos="1662" w:val="left" w:leader="none"/>
          <w:tab w:pos="1663" w:val="left" w:leader="none"/>
        </w:tabs>
        <w:spacing w:line="253" w:lineRule="exact" w:before="0" w:after="0"/>
        <w:ind w:left="1662" w:right="0" w:hanging="336"/>
        <w:jc w:val="left"/>
        <w:rPr>
          <w:sz w:val="22"/>
        </w:rPr>
      </w:pPr>
      <w:r>
        <w:rPr>
          <w:sz w:val="22"/>
        </w:rPr>
        <w:t>agent de</w:t>
      </w:r>
      <w:r>
        <w:rPr>
          <w:spacing w:val="-1"/>
          <w:sz w:val="22"/>
        </w:rPr>
        <w:t> </w:t>
      </w:r>
      <w:r>
        <w:rPr>
          <w:sz w:val="22"/>
        </w:rPr>
        <w:t>tri,</w:t>
      </w:r>
    </w:p>
    <w:p>
      <w:pPr>
        <w:pStyle w:val="ListParagraph"/>
        <w:numPr>
          <w:ilvl w:val="1"/>
          <w:numId w:val="1"/>
        </w:numPr>
        <w:tabs>
          <w:tab w:pos="1662" w:val="left" w:leader="none"/>
          <w:tab w:pos="1663" w:val="left" w:leader="none"/>
        </w:tabs>
        <w:spacing w:line="253" w:lineRule="exact" w:before="0" w:after="0"/>
        <w:ind w:left="1662" w:right="0" w:hanging="336"/>
        <w:jc w:val="left"/>
        <w:rPr>
          <w:sz w:val="22"/>
        </w:rPr>
      </w:pPr>
      <w:r>
        <w:rPr>
          <w:sz w:val="22"/>
        </w:rPr>
        <w:t>opérateur de</w:t>
      </w:r>
      <w:r>
        <w:rPr>
          <w:spacing w:val="-2"/>
          <w:sz w:val="22"/>
        </w:rPr>
        <w:t> </w:t>
      </w:r>
      <w:r>
        <w:rPr>
          <w:sz w:val="22"/>
        </w:rPr>
        <w:t>démantèlement,</w:t>
      </w:r>
    </w:p>
    <w:p>
      <w:pPr>
        <w:pStyle w:val="ListParagraph"/>
        <w:numPr>
          <w:ilvl w:val="1"/>
          <w:numId w:val="1"/>
        </w:numPr>
        <w:tabs>
          <w:tab w:pos="1662" w:val="left" w:leader="none"/>
          <w:tab w:pos="1663" w:val="left" w:leader="none"/>
        </w:tabs>
        <w:spacing w:line="253" w:lineRule="exact" w:before="0" w:after="0"/>
        <w:ind w:left="1662" w:right="0" w:hanging="336"/>
        <w:jc w:val="left"/>
        <w:rPr>
          <w:sz w:val="22"/>
        </w:rPr>
      </w:pPr>
      <w:r>
        <w:rPr>
          <w:sz w:val="22"/>
        </w:rPr>
        <w:t>opérateur en centre de transit, de regroupement et de</w:t>
      </w:r>
      <w:r>
        <w:rPr>
          <w:spacing w:val="-6"/>
          <w:sz w:val="22"/>
        </w:rPr>
        <w:t> </w:t>
      </w:r>
      <w:r>
        <w:rPr>
          <w:sz w:val="22"/>
        </w:rPr>
        <w:t>tri,</w:t>
      </w:r>
    </w:p>
    <w:p>
      <w:pPr>
        <w:pStyle w:val="ListParagraph"/>
        <w:numPr>
          <w:ilvl w:val="1"/>
          <w:numId w:val="1"/>
        </w:numPr>
        <w:tabs>
          <w:tab w:pos="1662" w:val="left" w:leader="none"/>
          <w:tab w:pos="1663" w:val="left" w:leader="none"/>
        </w:tabs>
        <w:spacing w:line="253" w:lineRule="exact" w:before="0" w:after="0"/>
        <w:ind w:left="1662" w:right="0" w:hanging="336"/>
        <w:jc w:val="left"/>
        <w:rPr>
          <w:sz w:val="22"/>
        </w:rPr>
      </w:pPr>
      <w:r>
        <w:rPr>
          <w:sz w:val="22"/>
        </w:rPr>
        <w:t>conducteur de</w:t>
      </w:r>
      <w:r>
        <w:rPr>
          <w:spacing w:val="-3"/>
          <w:sz w:val="22"/>
        </w:rPr>
        <w:t> </w:t>
      </w:r>
      <w:r>
        <w:rPr>
          <w:sz w:val="22"/>
        </w:rPr>
        <w:t>presses*,</w:t>
      </w:r>
    </w:p>
    <w:p>
      <w:pPr>
        <w:pStyle w:val="ListParagraph"/>
        <w:numPr>
          <w:ilvl w:val="1"/>
          <w:numId w:val="1"/>
        </w:numPr>
        <w:tabs>
          <w:tab w:pos="1662" w:val="left" w:leader="none"/>
          <w:tab w:pos="1663" w:val="left" w:leader="none"/>
        </w:tabs>
        <w:spacing w:line="252" w:lineRule="exact" w:before="0" w:after="0"/>
        <w:ind w:left="1662" w:right="0" w:hanging="336"/>
        <w:jc w:val="left"/>
        <w:rPr>
          <w:sz w:val="22"/>
        </w:rPr>
      </w:pPr>
      <w:r>
        <w:rPr>
          <w:sz w:val="22"/>
        </w:rPr>
        <w:t>conducteur de machines nécessaires au traitement des</w:t>
      </w:r>
      <w:r>
        <w:rPr>
          <w:spacing w:val="-11"/>
          <w:sz w:val="22"/>
        </w:rPr>
        <w:t> </w:t>
      </w:r>
      <w:r>
        <w:rPr>
          <w:sz w:val="22"/>
        </w:rPr>
        <w:t>déchets*,</w:t>
      </w:r>
    </w:p>
    <w:p>
      <w:pPr>
        <w:pStyle w:val="ListParagraph"/>
        <w:numPr>
          <w:ilvl w:val="1"/>
          <w:numId w:val="1"/>
        </w:numPr>
        <w:tabs>
          <w:tab w:pos="1662" w:val="left" w:leader="none"/>
          <w:tab w:pos="1663" w:val="left" w:leader="none"/>
        </w:tabs>
        <w:spacing w:line="262" w:lineRule="exact" w:before="0" w:after="0"/>
        <w:ind w:left="1662" w:right="0" w:hanging="336"/>
        <w:jc w:val="left"/>
        <w:rPr>
          <w:sz w:val="22"/>
        </w:rPr>
      </w:pPr>
      <w:r>
        <w:rPr>
          <w:sz w:val="22"/>
        </w:rPr>
        <w:t>conducteur d’engins de</w:t>
      </w:r>
      <w:r>
        <w:rPr>
          <w:spacing w:val="-4"/>
          <w:sz w:val="22"/>
        </w:rPr>
        <w:t> </w:t>
      </w:r>
      <w:r>
        <w:rPr>
          <w:sz w:val="22"/>
        </w:rPr>
        <w:t>transfert*.</w:t>
      </w:r>
    </w:p>
    <w:p>
      <w:pPr>
        <w:spacing w:before="232"/>
        <w:ind w:left="529" w:right="0" w:firstLine="0"/>
        <w:jc w:val="left"/>
        <w:rPr>
          <w:i/>
          <w:sz w:val="20"/>
        </w:rPr>
      </w:pPr>
      <w:r>
        <w:rPr>
          <w:i/>
          <w:sz w:val="20"/>
        </w:rPr>
        <w:t>* après obtention des habilitations adéquates en cours de validité et du permis poids lourds.</w:t>
      </w:r>
    </w:p>
    <w:p>
      <w:pPr>
        <w:pStyle w:val="BodyText"/>
        <w:ind w:left="0" w:firstLine="0"/>
        <w:rPr>
          <w:i/>
        </w:rPr>
      </w:pPr>
    </w:p>
    <w:p>
      <w:pPr>
        <w:pStyle w:val="BodyText"/>
        <w:spacing w:before="2"/>
        <w:ind w:left="0" w:firstLine="0"/>
        <w:rPr>
          <w:i/>
        </w:rPr>
      </w:pPr>
    </w:p>
    <w:p>
      <w:pPr>
        <w:pStyle w:val="Heading1"/>
        <w:jc w:val="both"/>
        <w:rPr>
          <w:u w:val="none"/>
        </w:rPr>
      </w:pPr>
      <w:r>
        <w:rPr>
          <w:u w:val="thick"/>
        </w:rPr>
        <w:t>Fonctions et activités exercées</w:t>
      </w:r>
    </w:p>
    <w:p>
      <w:pPr>
        <w:pStyle w:val="BodyText"/>
        <w:spacing w:before="9"/>
        <w:ind w:left="0" w:firstLine="0"/>
        <w:rPr>
          <w:b/>
          <w:sz w:val="12"/>
        </w:rPr>
      </w:pPr>
    </w:p>
    <w:p>
      <w:pPr>
        <w:pStyle w:val="BodyText"/>
        <w:spacing w:before="94"/>
        <w:ind w:left="246" w:right="122" w:firstLine="0"/>
        <w:jc w:val="both"/>
      </w:pPr>
      <w:r>
        <w:rPr/>
        <w:t>Dans l’exercice de sa profession, le titulaire du certificat d’aptitude professionnelle Propreté de l'Environnement urbain - Collecte et Recyclage exerce en autonomie totale ou partielle les  fonctions  suivantes :</w:t>
      </w:r>
    </w:p>
    <w:p>
      <w:pPr>
        <w:pStyle w:val="ListParagraph"/>
        <w:numPr>
          <w:ilvl w:val="0"/>
          <w:numId w:val="2"/>
        </w:numPr>
        <w:tabs>
          <w:tab w:pos="966" w:val="left" w:leader="none"/>
          <w:tab w:pos="967" w:val="left" w:leader="none"/>
        </w:tabs>
        <w:spacing w:line="240" w:lineRule="auto" w:before="120" w:after="0"/>
        <w:ind w:left="966" w:right="0" w:hanging="362"/>
        <w:jc w:val="left"/>
        <w:rPr>
          <w:sz w:val="22"/>
        </w:rPr>
      </w:pPr>
      <w:r>
        <w:rPr>
          <w:sz w:val="22"/>
        </w:rPr>
        <w:t>communication en situation professionnelle</w:t>
      </w:r>
      <w:r>
        <w:rPr>
          <w:spacing w:val="-1"/>
          <w:sz w:val="22"/>
        </w:rPr>
        <w:t> </w:t>
      </w:r>
      <w:r>
        <w:rPr>
          <w:sz w:val="22"/>
        </w:rPr>
        <w:t>;</w:t>
      </w:r>
    </w:p>
    <w:p>
      <w:pPr>
        <w:pStyle w:val="ListParagraph"/>
        <w:numPr>
          <w:ilvl w:val="0"/>
          <w:numId w:val="2"/>
        </w:numPr>
        <w:tabs>
          <w:tab w:pos="966" w:val="left" w:leader="none"/>
          <w:tab w:pos="967" w:val="left" w:leader="none"/>
        </w:tabs>
        <w:spacing w:line="253" w:lineRule="exact" w:before="0" w:after="0"/>
        <w:ind w:left="966" w:right="0" w:hanging="360"/>
        <w:jc w:val="left"/>
        <w:rPr>
          <w:sz w:val="22"/>
        </w:rPr>
      </w:pPr>
      <w:r>
        <w:rPr>
          <w:sz w:val="22"/>
        </w:rPr>
        <w:t>organisation de l’activité</w:t>
      </w:r>
      <w:r>
        <w:rPr>
          <w:spacing w:val="-1"/>
          <w:sz w:val="22"/>
        </w:rPr>
        <w:t> </w:t>
      </w:r>
      <w:r>
        <w:rPr>
          <w:sz w:val="22"/>
        </w:rPr>
        <w:t>;</w:t>
      </w:r>
    </w:p>
    <w:p>
      <w:pPr>
        <w:pStyle w:val="ListParagraph"/>
        <w:numPr>
          <w:ilvl w:val="0"/>
          <w:numId w:val="2"/>
        </w:numPr>
        <w:tabs>
          <w:tab w:pos="966" w:val="left" w:leader="none"/>
          <w:tab w:pos="967" w:val="left" w:leader="none"/>
        </w:tabs>
        <w:spacing w:line="252" w:lineRule="exact" w:before="0" w:after="0"/>
        <w:ind w:left="966" w:right="0" w:hanging="360"/>
        <w:jc w:val="left"/>
        <w:rPr>
          <w:sz w:val="22"/>
        </w:rPr>
      </w:pPr>
      <w:r>
        <w:rPr>
          <w:sz w:val="22"/>
        </w:rPr>
        <w:t>mise en œuvre des techniques professionnelles</w:t>
      </w:r>
      <w:r>
        <w:rPr>
          <w:spacing w:val="-1"/>
          <w:sz w:val="22"/>
        </w:rPr>
        <w:t> </w:t>
      </w:r>
      <w:r>
        <w:rPr>
          <w:sz w:val="22"/>
        </w:rPr>
        <w:t>;</w:t>
      </w:r>
    </w:p>
    <w:p>
      <w:pPr>
        <w:pStyle w:val="ListParagraph"/>
        <w:numPr>
          <w:ilvl w:val="0"/>
          <w:numId w:val="2"/>
        </w:numPr>
        <w:tabs>
          <w:tab w:pos="966" w:val="left" w:leader="none"/>
          <w:tab w:pos="967" w:val="left" w:leader="none"/>
        </w:tabs>
        <w:spacing w:line="253" w:lineRule="exact" w:before="0" w:after="0"/>
        <w:ind w:left="966" w:right="0" w:hanging="360"/>
        <w:jc w:val="left"/>
        <w:rPr>
          <w:sz w:val="22"/>
        </w:rPr>
      </w:pPr>
      <w:r>
        <w:rPr>
          <w:sz w:val="22"/>
        </w:rPr>
        <w:t>participation aux opérations de traçabilité et de</w:t>
      </w:r>
      <w:r>
        <w:rPr>
          <w:spacing w:val="-6"/>
          <w:sz w:val="22"/>
        </w:rPr>
        <w:t> </w:t>
      </w:r>
      <w:r>
        <w:rPr>
          <w:sz w:val="22"/>
        </w:rPr>
        <w:t>contrôle.</w:t>
      </w:r>
    </w:p>
    <w:p>
      <w:pPr>
        <w:pStyle w:val="BodyText"/>
        <w:ind w:left="0" w:firstLine="0"/>
      </w:pPr>
    </w:p>
    <w:p>
      <w:pPr>
        <w:pStyle w:val="BodyText"/>
        <w:ind w:left="246" w:firstLine="0"/>
        <w:jc w:val="both"/>
      </w:pPr>
      <w:r>
        <w:rPr/>
        <w:t>L’exercice du métier prend en compte en permanence et de manière transverse :</w:t>
      </w:r>
    </w:p>
    <w:p>
      <w:pPr>
        <w:pStyle w:val="ListParagraph"/>
        <w:numPr>
          <w:ilvl w:val="0"/>
          <w:numId w:val="2"/>
        </w:numPr>
        <w:tabs>
          <w:tab w:pos="966" w:val="left" w:leader="none"/>
          <w:tab w:pos="967" w:val="left" w:leader="none"/>
        </w:tabs>
        <w:spacing w:line="253" w:lineRule="exact" w:before="122" w:after="0"/>
        <w:ind w:left="966" w:right="0" w:hanging="362"/>
        <w:jc w:val="left"/>
        <w:rPr>
          <w:sz w:val="22"/>
        </w:rPr>
      </w:pPr>
      <w:r>
        <w:rPr>
          <w:sz w:val="22"/>
        </w:rPr>
        <w:t>la connaissance de l’entreprise ou du contexte professionnel</w:t>
      </w:r>
      <w:r>
        <w:rPr>
          <w:spacing w:val="-4"/>
          <w:sz w:val="22"/>
        </w:rPr>
        <w:t> </w:t>
      </w:r>
      <w:r>
        <w:rPr>
          <w:sz w:val="22"/>
        </w:rPr>
        <w:t>;</w:t>
      </w:r>
    </w:p>
    <w:p>
      <w:pPr>
        <w:pStyle w:val="ListParagraph"/>
        <w:numPr>
          <w:ilvl w:val="0"/>
          <w:numId w:val="2"/>
        </w:numPr>
        <w:tabs>
          <w:tab w:pos="966" w:val="left" w:leader="none"/>
          <w:tab w:pos="967" w:val="left" w:leader="none"/>
        </w:tabs>
        <w:spacing w:line="253" w:lineRule="exact" w:before="0" w:after="0"/>
        <w:ind w:left="966" w:right="0" w:hanging="360"/>
        <w:jc w:val="left"/>
        <w:rPr>
          <w:sz w:val="22"/>
        </w:rPr>
      </w:pPr>
      <w:r>
        <w:rPr>
          <w:sz w:val="22"/>
        </w:rPr>
        <w:t>les réglementations en vigueur</w:t>
      </w:r>
      <w:r>
        <w:rPr>
          <w:spacing w:val="-2"/>
          <w:sz w:val="22"/>
        </w:rPr>
        <w:t> </w:t>
      </w:r>
      <w:r>
        <w:rPr>
          <w:sz w:val="22"/>
        </w:rPr>
        <w:t>;</w:t>
      </w:r>
    </w:p>
    <w:p>
      <w:pPr>
        <w:pStyle w:val="ListParagraph"/>
        <w:numPr>
          <w:ilvl w:val="0"/>
          <w:numId w:val="2"/>
        </w:numPr>
        <w:tabs>
          <w:tab w:pos="966" w:val="left" w:leader="none"/>
          <w:tab w:pos="967" w:val="left" w:leader="none"/>
        </w:tabs>
        <w:spacing w:line="253" w:lineRule="exact" w:before="0" w:after="0"/>
        <w:ind w:left="966" w:right="0" w:hanging="360"/>
        <w:jc w:val="left"/>
        <w:rPr>
          <w:sz w:val="22"/>
        </w:rPr>
      </w:pPr>
      <w:r>
        <w:rPr>
          <w:sz w:val="22"/>
        </w:rPr>
        <w:t>l’hygiène, la santé et la sécurité au travail</w:t>
      </w:r>
      <w:r>
        <w:rPr>
          <w:spacing w:val="-5"/>
          <w:sz w:val="22"/>
        </w:rPr>
        <w:t> </w:t>
      </w:r>
      <w:r>
        <w:rPr>
          <w:sz w:val="22"/>
        </w:rPr>
        <w:t>;</w:t>
      </w:r>
    </w:p>
    <w:p>
      <w:pPr>
        <w:pStyle w:val="ListParagraph"/>
        <w:numPr>
          <w:ilvl w:val="0"/>
          <w:numId w:val="2"/>
        </w:numPr>
        <w:tabs>
          <w:tab w:pos="966" w:val="left" w:leader="none"/>
          <w:tab w:pos="967" w:val="left" w:leader="none"/>
        </w:tabs>
        <w:spacing w:line="252" w:lineRule="exact" w:before="0" w:after="0"/>
        <w:ind w:left="966" w:right="0" w:hanging="360"/>
        <w:jc w:val="left"/>
        <w:rPr>
          <w:sz w:val="22"/>
        </w:rPr>
      </w:pPr>
      <w:r>
        <w:rPr>
          <w:sz w:val="22"/>
        </w:rPr>
        <w:t>la qualité</w:t>
      </w:r>
      <w:r>
        <w:rPr>
          <w:spacing w:val="-2"/>
          <w:sz w:val="22"/>
        </w:rPr>
        <w:t> </w:t>
      </w:r>
      <w:r>
        <w:rPr>
          <w:sz w:val="22"/>
        </w:rPr>
        <w:t>;</w:t>
      </w:r>
    </w:p>
    <w:p>
      <w:pPr>
        <w:pStyle w:val="ListParagraph"/>
        <w:numPr>
          <w:ilvl w:val="0"/>
          <w:numId w:val="2"/>
        </w:numPr>
        <w:tabs>
          <w:tab w:pos="966" w:val="left" w:leader="none"/>
          <w:tab w:pos="967" w:val="left" w:leader="none"/>
        </w:tabs>
        <w:spacing w:line="253" w:lineRule="exact" w:before="0" w:after="0"/>
        <w:ind w:left="966" w:right="0" w:hanging="360"/>
        <w:jc w:val="left"/>
        <w:rPr>
          <w:sz w:val="22"/>
        </w:rPr>
      </w:pPr>
      <w:r>
        <w:rPr>
          <w:sz w:val="22"/>
        </w:rPr>
        <w:t>le développement durable, le respect de l’environnement</w:t>
      </w:r>
      <w:r>
        <w:rPr>
          <w:spacing w:val="1"/>
          <w:sz w:val="22"/>
        </w:rPr>
        <w:t> </w:t>
      </w:r>
      <w:r>
        <w:rPr>
          <w:sz w:val="22"/>
        </w:rPr>
        <w:t>;</w:t>
      </w:r>
    </w:p>
    <w:p>
      <w:pPr>
        <w:pStyle w:val="ListParagraph"/>
        <w:numPr>
          <w:ilvl w:val="0"/>
          <w:numId w:val="2"/>
        </w:numPr>
        <w:tabs>
          <w:tab w:pos="966" w:val="left" w:leader="none"/>
          <w:tab w:pos="967" w:val="left" w:leader="none"/>
        </w:tabs>
        <w:spacing w:line="240" w:lineRule="auto" w:before="0" w:after="0"/>
        <w:ind w:left="966" w:right="0" w:hanging="360"/>
        <w:jc w:val="left"/>
        <w:rPr>
          <w:sz w:val="22"/>
        </w:rPr>
      </w:pPr>
      <w:r>
        <w:rPr>
          <w:sz w:val="22"/>
        </w:rPr>
        <w:t>la maîtrise des outils numériques et de logiciels</w:t>
      </w:r>
      <w:r>
        <w:rPr>
          <w:spacing w:val="-4"/>
          <w:sz w:val="22"/>
        </w:rPr>
        <w:t> </w:t>
      </w:r>
      <w:r>
        <w:rPr>
          <w:sz w:val="22"/>
        </w:rPr>
        <w:t>professionnels.</w:t>
      </w:r>
    </w:p>
    <w:p>
      <w:pPr>
        <w:spacing w:after="0" w:line="240" w:lineRule="auto"/>
        <w:jc w:val="left"/>
        <w:rPr>
          <w:sz w:val="22"/>
        </w:rPr>
        <w:sectPr>
          <w:type w:val="continuous"/>
          <w:pgSz w:w="11910" w:h="16840"/>
          <w:pgMar w:top="480" w:bottom="280" w:left="320" w:right="44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119"/>
        <w:gridCol w:w="7799"/>
      </w:tblGrid>
      <w:tr>
        <w:trPr>
          <w:trHeight w:val="551" w:hRule="atLeast"/>
        </w:trPr>
        <w:tc>
          <w:tcPr>
            <w:tcW w:w="10918" w:type="dxa"/>
            <w:gridSpan w:val="2"/>
          </w:tcPr>
          <w:p>
            <w:pPr>
              <w:pStyle w:val="TableParagraph"/>
              <w:spacing w:before="134"/>
              <w:ind w:left="2402"/>
              <w:rPr>
                <w:b/>
                <w:i/>
                <w:sz w:val="24"/>
              </w:rPr>
            </w:pPr>
            <w:r>
              <w:rPr>
                <w:b/>
                <w:i/>
                <w:sz w:val="24"/>
              </w:rPr>
              <w:t>Fonction communication en situation professionnelle</w:t>
            </w:r>
          </w:p>
        </w:tc>
      </w:tr>
      <w:tr>
        <w:trPr>
          <w:trHeight w:val="472" w:hRule="atLeast"/>
        </w:trPr>
        <w:tc>
          <w:tcPr>
            <w:tcW w:w="3119" w:type="dxa"/>
          </w:tcPr>
          <w:p>
            <w:pPr>
              <w:pStyle w:val="TableParagraph"/>
              <w:spacing w:before="105"/>
              <w:ind w:left="1081" w:right="1070"/>
              <w:jc w:val="center"/>
              <w:rPr>
                <w:b/>
                <w:sz w:val="22"/>
              </w:rPr>
            </w:pPr>
            <w:r>
              <w:rPr>
                <w:b/>
                <w:sz w:val="22"/>
              </w:rPr>
              <w:t>Activités</w:t>
            </w:r>
          </w:p>
        </w:tc>
        <w:tc>
          <w:tcPr>
            <w:tcW w:w="7799" w:type="dxa"/>
          </w:tcPr>
          <w:p>
            <w:pPr>
              <w:pStyle w:val="TableParagraph"/>
              <w:spacing w:before="105"/>
              <w:ind w:left="3498" w:right="3490"/>
              <w:jc w:val="center"/>
              <w:rPr>
                <w:b/>
                <w:sz w:val="22"/>
              </w:rPr>
            </w:pPr>
            <w:r>
              <w:rPr>
                <w:b/>
                <w:sz w:val="22"/>
              </w:rPr>
              <w:t>Tâches</w:t>
            </w:r>
          </w:p>
        </w:tc>
      </w:tr>
      <w:tr>
        <w:trPr>
          <w:trHeight w:val="2320" w:hRule="atLeast"/>
        </w:trPr>
        <w:tc>
          <w:tcPr>
            <w:tcW w:w="3119" w:type="dxa"/>
          </w:tcPr>
          <w:p>
            <w:pPr>
              <w:pStyle w:val="TableParagraph"/>
              <w:ind w:left="0"/>
              <w:rPr>
                <w:sz w:val="24"/>
              </w:rPr>
            </w:pPr>
          </w:p>
          <w:p>
            <w:pPr>
              <w:pStyle w:val="TableParagraph"/>
              <w:spacing w:line="722" w:lineRule="auto" w:before="202"/>
              <w:ind w:left="107" w:right="120"/>
              <w:rPr>
                <w:sz w:val="22"/>
              </w:rPr>
            </w:pPr>
            <w:r>
              <w:rPr>
                <w:sz w:val="22"/>
              </w:rPr>
              <w:t>Accueil</w:t>
            </w:r>
            <w:r>
              <w:rPr>
                <w:sz w:val="24"/>
              </w:rPr>
              <w:t>, </w:t>
            </w:r>
            <w:r>
              <w:rPr>
                <w:sz w:val="22"/>
              </w:rPr>
              <w:t>conseil et suivi Transmission de l’information</w:t>
            </w:r>
          </w:p>
        </w:tc>
        <w:tc>
          <w:tcPr>
            <w:tcW w:w="7799" w:type="dxa"/>
          </w:tcPr>
          <w:p>
            <w:pPr>
              <w:pStyle w:val="TableParagraph"/>
              <w:spacing w:before="146"/>
              <w:ind w:left="109" w:right="1789"/>
              <w:rPr>
                <w:sz w:val="22"/>
              </w:rPr>
            </w:pPr>
            <w:r>
              <w:rPr>
                <w:sz w:val="22"/>
              </w:rPr>
              <w:t>Relation, conseil et information aux clients et aux usagers Repérage des contraintes techniques ou environnementales Prise en compte d’éventuels dysfonctionnements</w:t>
            </w:r>
          </w:p>
          <w:p>
            <w:pPr>
              <w:pStyle w:val="TableParagraph"/>
              <w:spacing w:before="10"/>
              <w:ind w:left="0"/>
              <w:rPr>
                <w:sz w:val="21"/>
              </w:rPr>
            </w:pPr>
          </w:p>
          <w:p>
            <w:pPr>
              <w:pStyle w:val="TableParagraph"/>
              <w:ind w:left="109" w:right="628"/>
              <w:rPr>
                <w:sz w:val="22"/>
              </w:rPr>
            </w:pPr>
            <w:r>
              <w:rPr>
                <w:sz w:val="22"/>
              </w:rPr>
              <w:t>Réalisation de compte rendu écrit et transmission à l’oral et via les outils numériques d’information à l’interne</w:t>
            </w:r>
          </w:p>
          <w:p>
            <w:pPr>
              <w:pStyle w:val="TableParagraph"/>
              <w:spacing w:before="1"/>
              <w:ind w:left="109"/>
              <w:rPr>
                <w:sz w:val="22"/>
              </w:rPr>
            </w:pPr>
            <w:r>
              <w:rPr>
                <w:sz w:val="22"/>
              </w:rPr>
              <w:t>Enregistrement de données</w:t>
            </w:r>
          </w:p>
          <w:p>
            <w:pPr>
              <w:pStyle w:val="TableParagraph"/>
              <w:spacing w:before="1"/>
              <w:ind w:left="109"/>
              <w:rPr>
                <w:sz w:val="22"/>
              </w:rPr>
            </w:pPr>
            <w:r>
              <w:rPr>
                <w:sz w:val="22"/>
              </w:rPr>
              <w:t>Signalement de situations dangereuses ou d’incidents</w:t>
            </w:r>
          </w:p>
        </w:tc>
      </w:tr>
    </w:tbl>
    <w:p>
      <w:pPr>
        <w:pStyle w:val="BodyText"/>
        <w:ind w:left="0" w:firstLine="0"/>
        <w:rPr>
          <w:sz w:val="20"/>
        </w:rPr>
      </w:pPr>
    </w:p>
    <w:p>
      <w:pPr>
        <w:pStyle w:val="BodyText"/>
        <w:ind w:left="0" w:firstLine="0"/>
        <w:rPr>
          <w:sz w:val="20"/>
        </w:rPr>
      </w:pPr>
    </w:p>
    <w:p>
      <w:pPr>
        <w:pStyle w:val="BodyText"/>
        <w:spacing w:before="7"/>
        <w:ind w:left="0" w:firstLine="0"/>
        <w:rPr>
          <w:sz w:val="26"/>
        </w:rPr>
      </w:pPr>
    </w:p>
    <w:tbl>
      <w:tblPr>
        <w:tblW w:w="0" w:type="auto"/>
        <w:jc w:val="left"/>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085"/>
        <w:gridCol w:w="7799"/>
      </w:tblGrid>
      <w:tr>
        <w:trPr>
          <w:trHeight w:val="424" w:hRule="atLeast"/>
        </w:trPr>
        <w:tc>
          <w:tcPr>
            <w:tcW w:w="10884" w:type="dxa"/>
            <w:gridSpan w:val="2"/>
          </w:tcPr>
          <w:p>
            <w:pPr>
              <w:pStyle w:val="TableParagraph"/>
              <w:spacing w:before="70"/>
              <w:ind w:left="3492"/>
              <w:rPr>
                <w:b/>
                <w:i/>
                <w:sz w:val="24"/>
              </w:rPr>
            </w:pPr>
            <w:r>
              <w:rPr>
                <w:b/>
                <w:i/>
                <w:sz w:val="24"/>
              </w:rPr>
              <w:t>Fonction organisation de l’activité</w:t>
            </w:r>
          </w:p>
        </w:tc>
      </w:tr>
      <w:tr>
        <w:trPr>
          <w:trHeight w:val="405" w:hRule="atLeast"/>
        </w:trPr>
        <w:tc>
          <w:tcPr>
            <w:tcW w:w="3085" w:type="dxa"/>
          </w:tcPr>
          <w:p>
            <w:pPr>
              <w:pStyle w:val="TableParagraph"/>
              <w:spacing w:before="72"/>
              <w:ind w:left="1061" w:right="1055"/>
              <w:jc w:val="center"/>
              <w:rPr>
                <w:b/>
                <w:sz w:val="22"/>
              </w:rPr>
            </w:pPr>
            <w:r>
              <w:rPr>
                <w:b/>
                <w:sz w:val="22"/>
              </w:rPr>
              <w:t>Activités</w:t>
            </w:r>
          </w:p>
        </w:tc>
        <w:tc>
          <w:tcPr>
            <w:tcW w:w="7799" w:type="dxa"/>
          </w:tcPr>
          <w:p>
            <w:pPr>
              <w:pStyle w:val="TableParagraph"/>
              <w:spacing w:before="72"/>
              <w:ind w:left="3499" w:right="3490"/>
              <w:jc w:val="center"/>
              <w:rPr>
                <w:b/>
                <w:sz w:val="22"/>
              </w:rPr>
            </w:pPr>
            <w:r>
              <w:rPr>
                <w:b/>
                <w:sz w:val="22"/>
              </w:rPr>
              <w:t>Tâches</w:t>
            </w:r>
          </w:p>
        </w:tc>
      </w:tr>
      <w:tr>
        <w:trPr>
          <w:trHeight w:val="1420" w:hRule="atLeast"/>
        </w:trPr>
        <w:tc>
          <w:tcPr>
            <w:tcW w:w="3085" w:type="dxa"/>
            <w:tcBorders>
              <w:bottom w:val="nil"/>
            </w:tcBorders>
          </w:tcPr>
          <w:p>
            <w:pPr>
              <w:pStyle w:val="TableParagraph"/>
              <w:ind w:left="0"/>
              <w:rPr>
                <w:sz w:val="24"/>
              </w:rPr>
            </w:pPr>
          </w:p>
          <w:p>
            <w:pPr>
              <w:pStyle w:val="TableParagraph"/>
              <w:ind w:left="0"/>
              <w:rPr>
                <w:sz w:val="24"/>
              </w:rPr>
            </w:pPr>
          </w:p>
          <w:p>
            <w:pPr>
              <w:pStyle w:val="TableParagraph"/>
              <w:spacing w:before="211"/>
              <w:ind w:left="107"/>
              <w:rPr>
                <w:sz w:val="22"/>
              </w:rPr>
            </w:pPr>
            <w:r>
              <w:rPr>
                <w:sz w:val="22"/>
              </w:rPr>
              <w:t>Préparation du travail</w:t>
            </w:r>
          </w:p>
        </w:tc>
        <w:tc>
          <w:tcPr>
            <w:tcW w:w="7799" w:type="dxa"/>
            <w:tcBorders>
              <w:bottom w:val="nil"/>
            </w:tcBorders>
          </w:tcPr>
          <w:p>
            <w:pPr>
              <w:pStyle w:val="TableParagraph"/>
              <w:spacing w:before="122"/>
              <w:rPr>
                <w:sz w:val="22"/>
              </w:rPr>
            </w:pPr>
            <w:r>
              <w:rPr>
                <w:sz w:val="22"/>
              </w:rPr>
              <w:t>Se situer dans un environnement, une culture métier, une organisation, une équipe de travail</w:t>
            </w:r>
          </w:p>
          <w:p>
            <w:pPr>
              <w:pStyle w:val="TableParagraph"/>
              <w:ind w:right="628"/>
              <w:rPr>
                <w:sz w:val="22"/>
              </w:rPr>
            </w:pPr>
            <w:r>
              <w:rPr>
                <w:sz w:val="22"/>
              </w:rPr>
              <w:t>Identification du besoin, de la demande (attentes du client, des usagers, délais…)</w:t>
            </w:r>
          </w:p>
          <w:p>
            <w:pPr>
              <w:pStyle w:val="TableParagraph"/>
              <w:spacing w:before="1"/>
              <w:rPr>
                <w:sz w:val="22"/>
              </w:rPr>
            </w:pPr>
            <w:r>
              <w:rPr>
                <w:sz w:val="22"/>
              </w:rPr>
              <w:t>Prise en compte des contraintes liées à l’environnement professionnel :</w:t>
            </w:r>
          </w:p>
        </w:tc>
      </w:tr>
      <w:tr>
        <w:trPr>
          <w:trHeight w:val="1422" w:hRule="atLeast"/>
        </w:trPr>
        <w:tc>
          <w:tcPr>
            <w:tcW w:w="3085" w:type="dxa"/>
            <w:tcBorders>
              <w:top w:val="nil"/>
              <w:bottom w:val="nil"/>
            </w:tcBorders>
          </w:tcPr>
          <w:p>
            <w:pPr>
              <w:pStyle w:val="TableParagraph"/>
              <w:ind w:left="0"/>
              <w:rPr>
                <w:rFonts w:ascii="Times New Roman"/>
                <w:sz w:val="22"/>
              </w:rPr>
            </w:pPr>
          </w:p>
        </w:tc>
        <w:tc>
          <w:tcPr>
            <w:tcW w:w="7799" w:type="dxa"/>
            <w:tcBorders>
              <w:top w:val="nil"/>
              <w:bottom w:val="nil"/>
            </w:tcBorders>
          </w:tcPr>
          <w:p>
            <w:pPr>
              <w:pStyle w:val="TableParagraph"/>
              <w:numPr>
                <w:ilvl w:val="0"/>
                <w:numId w:val="3"/>
              </w:numPr>
              <w:tabs>
                <w:tab w:pos="830" w:val="left" w:leader="none"/>
                <w:tab w:pos="831" w:val="left" w:leader="none"/>
              </w:tabs>
              <w:spacing w:line="240" w:lineRule="auto" w:before="26" w:after="0"/>
              <w:ind w:left="110" w:right="0" w:firstLine="360"/>
              <w:jc w:val="left"/>
              <w:rPr>
                <w:sz w:val="22"/>
              </w:rPr>
            </w:pPr>
            <w:r>
              <w:rPr>
                <w:sz w:val="22"/>
              </w:rPr>
              <w:t>état initial du site d’intervention, des outils et équipements de travail</w:t>
            </w:r>
            <w:r>
              <w:rPr>
                <w:spacing w:val="-27"/>
                <w:sz w:val="22"/>
              </w:rPr>
              <w:t> </w:t>
            </w:r>
            <w:r>
              <w:rPr>
                <w:sz w:val="22"/>
              </w:rPr>
              <w:t>;</w:t>
            </w:r>
          </w:p>
          <w:p>
            <w:pPr>
              <w:pStyle w:val="TableParagraph"/>
              <w:numPr>
                <w:ilvl w:val="0"/>
                <w:numId w:val="3"/>
              </w:numPr>
              <w:tabs>
                <w:tab w:pos="830" w:val="left" w:leader="none"/>
                <w:tab w:pos="831" w:val="left" w:leader="none"/>
              </w:tabs>
              <w:spacing w:line="253" w:lineRule="exact" w:before="0" w:after="0"/>
              <w:ind w:left="110" w:right="0" w:firstLine="360"/>
              <w:jc w:val="left"/>
              <w:rPr>
                <w:sz w:val="22"/>
              </w:rPr>
            </w:pPr>
            <w:r>
              <w:rPr>
                <w:sz w:val="22"/>
              </w:rPr>
              <w:t>spécificité du contexte (lieu, usagers, évènement particulier…)</w:t>
            </w:r>
            <w:r>
              <w:rPr>
                <w:spacing w:val="-12"/>
                <w:sz w:val="22"/>
              </w:rPr>
              <w:t> </w:t>
            </w:r>
            <w:r>
              <w:rPr>
                <w:sz w:val="22"/>
              </w:rPr>
              <w:t>;</w:t>
            </w:r>
          </w:p>
          <w:p>
            <w:pPr>
              <w:pStyle w:val="TableParagraph"/>
              <w:numPr>
                <w:ilvl w:val="0"/>
                <w:numId w:val="3"/>
              </w:numPr>
              <w:tabs>
                <w:tab w:pos="830" w:val="left" w:leader="none"/>
                <w:tab w:pos="831" w:val="left" w:leader="none"/>
              </w:tabs>
              <w:spacing w:line="252" w:lineRule="exact" w:before="0" w:after="0"/>
              <w:ind w:left="110" w:right="0" w:firstLine="360"/>
              <w:jc w:val="left"/>
              <w:rPr>
                <w:sz w:val="22"/>
              </w:rPr>
            </w:pPr>
            <w:r>
              <w:rPr>
                <w:sz w:val="22"/>
              </w:rPr>
              <w:t>hygiène, santé et sécurité au travail</w:t>
            </w:r>
            <w:r>
              <w:rPr>
                <w:spacing w:val="1"/>
                <w:sz w:val="22"/>
              </w:rPr>
              <w:t> </w:t>
            </w:r>
            <w:r>
              <w:rPr>
                <w:sz w:val="22"/>
              </w:rPr>
              <w:t>;</w:t>
            </w:r>
          </w:p>
          <w:p>
            <w:pPr>
              <w:pStyle w:val="TableParagraph"/>
              <w:numPr>
                <w:ilvl w:val="0"/>
                <w:numId w:val="3"/>
              </w:numPr>
              <w:tabs>
                <w:tab w:pos="830" w:val="left" w:leader="none"/>
                <w:tab w:pos="831" w:val="left" w:leader="none"/>
              </w:tabs>
              <w:spacing w:line="240" w:lineRule="auto" w:before="0" w:after="0"/>
              <w:ind w:left="110" w:right="1464" w:firstLine="360"/>
              <w:jc w:val="left"/>
              <w:rPr>
                <w:sz w:val="22"/>
              </w:rPr>
            </w:pPr>
            <w:r>
              <w:rPr>
                <w:sz w:val="22"/>
              </w:rPr>
              <w:t>développement durable et protection de l’environnement Préparation du poste de travail, des matériels, des</w:t>
            </w:r>
            <w:r>
              <w:rPr>
                <w:spacing w:val="-10"/>
                <w:sz w:val="22"/>
              </w:rPr>
              <w:t> </w:t>
            </w:r>
            <w:r>
              <w:rPr>
                <w:sz w:val="22"/>
              </w:rPr>
              <w:t>engins</w:t>
            </w:r>
          </w:p>
        </w:tc>
      </w:tr>
      <w:tr>
        <w:trPr>
          <w:trHeight w:val="1265" w:hRule="atLeast"/>
        </w:trPr>
        <w:tc>
          <w:tcPr>
            <w:tcW w:w="3085" w:type="dxa"/>
            <w:tcBorders>
              <w:top w:val="nil"/>
              <w:bottom w:val="nil"/>
            </w:tcBorders>
          </w:tcPr>
          <w:p>
            <w:pPr>
              <w:pStyle w:val="TableParagraph"/>
              <w:ind w:left="0"/>
              <w:rPr>
                <w:sz w:val="24"/>
              </w:rPr>
            </w:pPr>
          </w:p>
          <w:p>
            <w:pPr>
              <w:pStyle w:val="TableParagraph"/>
              <w:spacing w:before="174"/>
              <w:ind w:left="107"/>
              <w:rPr>
                <w:sz w:val="22"/>
              </w:rPr>
            </w:pPr>
            <w:r>
              <w:rPr>
                <w:sz w:val="22"/>
              </w:rPr>
              <w:t>Réalisation du travail</w:t>
            </w:r>
          </w:p>
        </w:tc>
        <w:tc>
          <w:tcPr>
            <w:tcW w:w="7799" w:type="dxa"/>
            <w:tcBorders>
              <w:top w:val="nil"/>
              <w:bottom w:val="nil"/>
            </w:tcBorders>
          </w:tcPr>
          <w:p>
            <w:pPr>
              <w:pStyle w:val="TableParagraph"/>
              <w:spacing w:before="123"/>
              <w:ind w:right="3635"/>
              <w:rPr>
                <w:sz w:val="22"/>
              </w:rPr>
            </w:pPr>
            <w:r>
              <w:rPr>
                <w:sz w:val="22"/>
              </w:rPr>
              <w:t>Suivi des activités en cours de réalisation Régulation des aléas</w:t>
            </w:r>
          </w:p>
          <w:p>
            <w:pPr>
              <w:pStyle w:val="TableParagraph"/>
              <w:ind w:right="3305"/>
              <w:rPr>
                <w:sz w:val="22"/>
              </w:rPr>
            </w:pPr>
            <w:r>
              <w:rPr>
                <w:sz w:val="22"/>
              </w:rPr>
              <w:t>Remise en état de l’environnement de travail Rendu compte de l’activité</w:t>
            </w:r>
          </w:p>
        </w:tc>
      </w:tr>
      <w:tr>
        <w:trPr>
          <w:trHeight w:val="1767" w:hRule="atLeast"/>
        </w:trPr>
        <w:tc>
          <w:tcPr>
            <w:tcW w:w="3085" w:type="dxa"/>
            <w:tcBorders>
              <w:top w:val="nil"/>
            </w:tcBorders>
          </w:tcPr>
          <w:p>
            <w:pPr>
              <w:pStyle w:val="TableParagraph"/>
              <w:spacing w:before="11"/>
              <w:ind w:left="0"/>
              <w:rPr>
                <w:sz w:val="20"/>
              </w:rPr>
            </w:pPr>
          </w:p>
          <w:p>
            <w:pPr>
              <w:pStyle w:val="TableParagraph"/>
              <w:ind w:left="107" w:right="86"/>
              <w:rPr>
                <w:sz w:val="22"/>
              </w:rPr>
            </w:pPr>
            <w:r>
              <w:rPr>
                <w:sz w:val="22"/>
              </w:rPr>
              <w:t>Aide à la gestion administrative et économique des flux</w:t>
            </w:r>
          </w:p>
        </w:tc>
        <w:tc>
          <w:tcPr>
            <w:tcW w:w="7799" w:type="dxa"/>
            <w:tcBorders>
              <w:top w:val="nil"/>
            </w:tcBorders>
          </w:tcPr>
          <w:p>
            <w:pPr>
              <w:pStyle w:val="TableParagraph"/>
              <w:spacing w:before="123"/>
              <w:ind w:right="3036"/>
              <w:rPr>
                <w:sz w:val="22"/>
              </w:rPr>
            </w:pPr>
            <w:r>
              <w:rPr>
                <w:sz w:val="22"/>
              </w:rPr>
              <w:t>Identification et contrôle des matières entrantes Suivi des flux entrants et</w:t>
            </w:r>
            <w:r>
              <w:rPr>
                <w:spacing w:val="-8"/>
                <w:sz w:val="22"/>
              </w:rPr>
              <w:t> </w:t>
            </w:r>
            <w:r>
              <w:rPr>
                <w:sz w:val="22"/>
              </w:rPr>
              <w:t>sortants</w:t>
            </w:r>
          </w:p>
          <w:p>
            <w:pPr>
              <w:pStyle w:val="TableParagraph"/>
              <w:ind w:right="4449"/>
              <w:rPr>
                <w:sz w:val="22"/>
              </w:rPr>
            </w:pPr>
            <w:r>
              <w:rPr>
                <w:sz w:val="22"/>
              </w:rPr>
              <w:t>Contrôle qualité et traçabilité Suivi des matériels et des</w:t>
            </w:r>
            <w:r>
              <w:rPr>
                <w:spacing w:val="-7"/>
                <w:sz w:val="22"/>
              </w:rPr>
              <w:t> </w:t>
            </w:r>
            <w:r>
              <w:rPr>
                <w:sz w:val="22"/>
              </w:rPr>
              <w:t>engins</w:t>
            </w:r>
          </w:p>
          <w:p>
            <w:pPr>
              <w:pStyle w:val="TableParagraph"/>
              <w:ind w:right="639"/>
              <w:rPr>
                <w:sz w:val="22"/>
              </w:rPr>
            </w:pPr>
            <w:r>
              <w:rPr>
                <w:sz w:val="22"/>
              </w:rPr>
              <w:t>Renseignement du bordereau de suivi des déchets et autres documents administratifs</w:t>
            </w:r>
          </w:p>
        </w:tc>
      </w:tr>
    </w:tbl>
    <w:p>
      <w:pPr>
        <w:spacing w:after="0"/>
        <w:rPr>
          <w:sz w:val="22"/>
        </w:rPr>
        <w:sectPr>
          <w:pgSz w:w="11910" w:h="16840"/>
          <w:pgMar w:top="540" w:bottom="280" w:left="320" w:right="440"/>
        </w:sectPr>
      </w:pPr>
    </w:p>
    <w:tbl>
      <w:tblPr>
        <w:tblW w:w="0" w:type="auto"/>
        <w:jc w:val="left"/>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43"/>
        <w:gridCol w:w="7940"/>
      </w:tblGrid>
      <w:tr>
        <w:trPr>
          <w:trHeight w:val="551" w:hRule="atLeast"/>
        </w:trPr>
        <w:tc>
          <w:tcPr>
            <w:tcW w:w="10883" w:type="dxa"/>
            <w:gridSpan w:val="2"/>
          </w:tcPr>
          <w:p>
            <w:pPr>
              <w:pStyle w:val="TableParagraph"/>
              <w:spacing w:before="134"/>
              <w:ind w:left="2157"/>
              <w:rPr>
                <w:b/>
                <w:i/>
                <w:sz w:val="24"/>
              </w:rPr>
            </w:pPr>
            <w:r>
              <w:rPr>
                <w:b/>
                <w:i/>
                <w:sz w:val="24"/>
              </w:rPr>
              <w:t>Fonction mise en œuvre des techniques professionnelles</w:t>
            </w:r>
          </w:p>
        </w:tc>
      </w:tr>
      <w:tr>
        <w:trPr>
          <w:trHeight w:val="429" w:hRule="atLeast"/>
        </w:trPr>
        <w:tc>
          <w:tcPr>
            <w:tcW w:w="10883" w:type="dxa"/>
            <w:gridSpan w:val="2"/>
          </w:tcPr>
          <w:p>
            <w:pPr>
              <w:pStyle w:val="TableParagraph"/>
              <w:spacing w:before="86"/>
              <w:ind w:left="107"/>
              <w:rPr>
                <w:i/>
                <w:sz w:val="22"/>
              </w:rPr>
            </w:pPr>
            <w:r>
              <w:rPr>
                <w:i/>
                <w:sz w:val="22"/>
              </w:rPr>
              <w:t>Techniques de nettoiement</w:t>
            </w:r>
          </w:p>
        </w:tc>
      </w:tr>
      <w:tr>
        <w:trPr>
          <w:trHeight w:val="362" w:hRule="atLeast"/>
        </w:trPr>
        <w:tc>
          <w:tcPr>
            <w:tcW w:w="2943" w:type="dxa"/>
          </w:tcPr>
          <w:p>
            <w:pPr>
              <w:pStyle w:val="TableParagraph"/>
              <w:spacing w:before="50"/>
              <w:ind w:left="0" w:right="1001"/>
              <w:jc w:val="right"/>
              <w:rPr>
                <w:b/>
                <w:sz w:val="22"/>
              </w:rPr>
            </w:pPr>
            <w:r>
              <w:rPr>
                <w:b/>
                <w:sz w:val="22"/>
              </w:rPr>
              <w:t>Activités</w:t>
            </w:r>
          </w:p>
        </w:tc>
        <w:tc>
          <w:tcPr>
            <w:tcW w:w="7940" w:type="dxa"/>
          </w:tcPr>
          <w:p>
            <w:pPr>
              <w:pStyle w:val="TableParagraph"/>
              <w:spacing w:before="50"/>
              <w:ind w:left="0" w:right="3578"/>
              <w:jc w:val="right"/>
              <w:rPr>
                <w:b/>
                <w:sz w:val="22"/>
              </w:rPr>
            </w:pPr>
            <w:r>
              <w:rPr>
                <w:b/>
                <w:sz w:val="22"/>
              </w:rPr>
              <w:t>Tâches</w:t>
            </w:r>
          </w:p>
        </w:tc>
      </w:tr>
      <w:tr>
        <w:trPr>
          <w:trHeight w:val="4862" w:hRule="atLeast"/>
        </w:trPr>
        <w:tc>
          <w:tcPr>
            <w:tcW w:w="2943" w:type="dxa"/>
          </w:tcPr>
          <w:p>
            <w:pPr>
              <w:pStyle w:val="TableParagraph"/>
              <w:spacing w:before="2"/>
              <w:ind w:left="0"/>
              <w:rPr>
                <w:sz w:val="24"/>
              </w:rPr>
            </w:pPr>
          </w:p>
          <w:p>
            <w:pPr>
              <w:pStyle w:val="TableParagraph"/>
              <w:ind w:left="107" w:right="140"/>
              <w:rPr>
                <w:sz w:val="22"/>
              </w:rPr>
            </w:pPr>
            <w:r>
              <w:rPr>
                <w:sz w:val="22"/>
              </w:rPr>
              <w:t>Entretien de la voirie et des espaces publics</w:t>
            </w:r>
          </w:p>
          <w:p>
            <w:pPr>
              <w:pStyle w:val="TableParagraph"/>
              <w:ind w:left="107" w:right="421"/>
              <w:rPr>
                <w:sz w:val="22"/>
              </w:rPr>
            </w:pPr>
            <w:r>
              <w:rPr>
                <w:sz w:val="22"/>
              </w:rPr>
              <w:t>Entretien des centres de vie</w:t>
            </w:r>
          </w:p>
          <w:p>
            <w:pPr>
              <w:pStyle w:val="TableParagraph"/>
              <w:ind w:left="0"/>
              <w:rPr>
                <w:sz w:val="24"/>
              </w:rPr>
            </w:pPr>
          </w:p>
          <w:p>
            <w:pPr>
              <w:pStyle w:val="TableParagraph"/>
              <w:ind w:left="0"/>
              <w:rPr>
                <w:sz w:val="24"/>
              </w:rPr>
            </w:pPr>
          </w:p>
          <w:p>
            <w:pPr>
              <w:pStyle w:val="TableParagraph"/>
              <w:spacing w:before="207"/>
              <w:ind w:left="107" w:right="115"/>
              <w:rPr>
                <w:sz w:val="22"/>
              </w:rPr>
            </w:pPr>
            <w:r>
              <w:rPr>
                <w:sz w:val="22"/>
              </w:rPr>
              <w:t>Entretien du mobilier urbain Traitement en vue de l’élimination des graffitis et des tags, des pâtes à mâcher</w:t>
            </w:r>
          </w:p>
          <w:p>
            <w:pPr>
              <w:pStyle w:val="TableParagraph"/>
              <w:ind w:left="0"/>
              <w:rPr>
                <w:sz w:val="22"/>
              </w:rPr>
            </w:pPr>
          </w:p>
          <w:p>
            <w:pPr>
              <w:pStyle w:val="TableParagraph"/>
              <w:ind w:left="107" w:right="629"/>
              <w:rPr>
                <w:sz w:val="22"/>
              </w:rPr>
            </w:pPr>
            <w:r>
              <w:rPr>
                <w:sz w:val="22"/>
              </w:rPr>
              <w:t>Opérations de viabilité hivernale</w:t>
            </w:r>
          </w:p>
          <w:p>
            <w:pPr>
              <w:pStyle w:val="TableParagraph"/>
              <w:ind w:left="107" w:right="90"/>
              <w:rPr>
                <w:sz w:val="22"/>
              </w:rPr>
            </w:pPr>
            <w:r>
              <w:rPr>
                <w:sz w:val="22"/>
              </w:rPr>
              <w:t>Opérations de nettoyage de plage</w:t>
            </w:r>
          </w:p>
        </w:tc>
        <w:tc>
          <w:tcPr>
            <w:tcW w:w="7940" w:type="dxa"/>
          </w:tcPr>
          <w:p>
            <w:pPr>
              <w:pStyle w:val="TableParagraph"/>
              <w:spacing w:before="151"/>
              <w:ind w:right="1049"/>
              <w:rPr>
                <w:sz w:val="22"/>
              </w:rPr>
            </w:pPr>
            <w:r>
              <w:rPr>
                <w:sz w:val="22"/>
              </w:rPr>
              <w:t>Prise en compte du type de déchet, tri et orientation selon leur nature Réalisation de l’intervention par techniques manuelles et mécanisées Ramassage de déchets et élimination des décharges sauvages Nettoiement des espaces particuliers : cours d’écoles, esplanades de musées…</w:t>
            </w:r>
          </w:p>
          <w:p>
            <w:pPr>
              <w:pStyle w:val="TableParagraph"/>
              <w:ind w:right="3703"/>
              <w:rPr>
                <w:sz w:val="22"/>
              </w:rPr>
            </w:pPr>
            <w:r>
              <w:rPr>
                <w:sz w:val="22"/>
              </w:rPr>
              <w:t>Ramassage des feuilles en mode chantier Nettoiement après manifestations</w:t>
            </w:r>
          </w:p>
          <w:p>
            <w:pPr>
              <w:pStyle w:val="TableParagraph"/>
              <w:spacing w:before="10"/>
              <w:ind w:left="0"/>
              <w:rPr>
                <w:sz w:val="21"/>
              </w:rPr>
            </w:pPr>
          </w:p>
          <w:p>
            <w:pPr>
              <w:pStyle w:val="TableParagraph"/>
              <w:spacing w:before="1"/>
              <w:rPr>
                <w:sz w:val="22"/>
              </w:rPr>
            </w:pPr>
            <w:r>
              <w:rPr>
                <w:sz w:val="22"/>
              </w:rPr>
              <w:t>Décollage d’affiches</w:t>
            </w:r>
          </w:p>
          <w:p>
            <w:pPr>
              <w:pStyle w:val="TableParagraph"/>
              <w:spacing w:before="1"/>
              <w:ind w:right="2896"/>
              <w:rPr>
                <w:sz w:val="22"/>
              </w:rPr>
            </w:pPr>
            <w:r>
              <w:rPr>
                <w:sz w:val="22"/>
              </w:rPr>
              <w:t>Enlèvement d’affichage sauvage, d’autocollants… Nettoyage manuel ou mécanisé du mobilier urbain</w:t>
            </w:r>
          </w:p>
          <w:p>
            <w:pPr>
              <w:pStyle w:val="TableParagraph"/>
              <w:ind w:right="119"/>
              <w:rPr>
                <w:sz w:val="22"/>
              </w:rPr>
            </w:pPr>
            <w:r>
              <w:rPr>
                <w:sz w:val="22"/>
              </w:rPr>
              <w:t>Application manuelle d’un produit ou d’une protection dans un objectif préventif ou curatif</w:t>
            </w:r>
          </w:p>
          <w:p>
            <w:pPr>
              <w:pStyle w:val="TableParagraph"/>
              <w:ind w:left="0"/>
              <w:rPr>
                <w:sz w:val="24"/>
              </w:rPr>
            </w:pPr>
          </w:p>
          <w:p>
            <w:pPr>
              <w:pStyle w:val="TableParagraph"/>
              <w:ind w:left="0"/>
              <w:rPr>
                <w:sz w:val="24"/>
              </w:rPr>
            </w:pPr>
          </w:p>
          <w:p>
            <w:pPr>
              <w:pStyle w:val="TableParagraph"/>
              <w:spacing w:before="208"/>
              <w:ind w:right="1000"/>
              <w:rPr>
                <w:sz w:val="22"/>
              </w:rPr>
            </w:pPr>
            <w:r>
              <w:rPr>
                <w:sz w:val="22"/>
              </w:rPr>
              <w:t>Réalisation de l’intervention par techniques manuelles ou mécanisées Entreposage des produits collectés dans un lieu approprié</w:t>
            </w:r>
          </w:p>
        </w:tc>
      </w:tr>
      <w:tr>
        <w:trPr>
          <w:trHeight w:val="412" w:hRule="atLeast"/>
        </w:trPr>
        <w:tc>
          <w:tcPr>
            <w:tcW w:w="10883" w:type="dxa"/>
            <w:gridSpan w:val="2"/>
          </w:tcPr>
          <w:p>
            <w:pPr>
              <w:pStyle w:val="TableParagraph"/>
              <w:spacing w:before="76"/>
              <w:ind w:left="107"/>
              <w:rPr>
                <w:i/>
                <w:sz w:val="22"/>
              </w:rPr>
            </w:pPr>
            <w:r>
              <w:rPr>
                <w:i/>
                <w:sz w:val="22"/>
              </w:rPr>
              <w:t>Techniques de collecte</w:t>
            </w:r>
          </w:p>
        </w:tc>
      </w:tr>
      <w:tr>
        <w:trPr>
          <w:trHeight w:val="417" w:hRule="atLeast"/>
        </w:trPr>
        <w:tc>
          <w:tcPr>
            <w:tcW w:w="2943" w:type="dxa"/>
          </w:tcPr>
          <w:p>
            <w:pPr>
              <w:pStyle w:val="TableParagraph"/>
              <w:spacing w:before="76"/>
              <w:ind w:left="0" w:right="1001"/>
              <w:jc w:val="right"/>
              <w:rPr>
                <w:b/>
                <w:sz w:val="22"/>
              </w:rPr>
            </w:pPr>
            <w:r>
              <w:rPr>
                <w:b/>
                <w:sz w:val="22"/>
              </w:rPr>
              <w:t>Activités</w:t>
            </w:r>
          </w:p>
        </w:tc>
        <w:tc>
          <w:tcPr>
            <w:tcW w:w="7940" w:type="dxa"/>
          </w:tcPr>
          <w:p>
            <w:pPr>
              <w:pStyle w:val="TableParagraph"/>
              <w:spacing w:before="76"/>
              <w:ind w:left="0" w:right="3578"/>
              <w:jc w:val="right"/>
              <w:rPr>
                <w:b/>
                <w:sz w:val="22"/>
              </w:rPr>
            </w:pPr>
            <w:r>
              <w:rPr>
                <w:b/>
                <w:sz w:val="22"/>
              </w:rPr>
              <w:t>Tâches</w:t>
            </w:r>
          </w:p>
        </w:tc>
      </w:tr>
      <w:tr>
        <w:trPr>
          <w:trHeight w:val="1678" w:hRule="atLeast"/>
        </w:trPr>
        <w:tc>
          <w:tcPr>
            <w:tcW w:w="2943" w:type="dxa"/>
            <w:tcBorders>
              <w:bottom w:val="nil"/>
            </w:tcBorders>
          </w:tcPr>
          <w:p>
            <w:pPr>
              <w:pStyle w:val="TableParagraph"/>
              <w:ind w:left="0"/>
              <w:rPr>
                <w:sz w:val="24"/>
              </w:rPr>
            </w:pPr>
          </w:p>
          <w:p>
            <w:pPr>
              <w:pStyle w:val="TableParagraph"/>
              <w:spacing w:before="168"/>
              <w:ind w:left="107" w:right="556"/>
              <w:rPr>
                <w:sz w:val="22"/>
              </w:rPr>
            </w:pPr>
            <w:r>
              <w:rPr>
                <w:sz w:val="22"/>
              </w:rPr>
              <w:t>Collecte des déchets ménagers ou assimilés</w:t>
            </w:r>
          </w:p>
        </w:tc>
        <w:tc>
          <w:tcPr>
            <w:tcW w:w="7940" w:type="dxa"/>
            <w:tcBorders>
              <w:bottom w:val="nil"/>
            </w:tcBorders>
          </w:tcPr>
          <w:p>
            <w:pPr>
              <w:pStyle w:val="TableParagraph"/>
              <w:spacing w:line="252" w:lineRule="exact" w:before="64"/>
              <w:rPr>
                <w:sz w:val="22"/>
              </w:rPr>
            </w:pPr>
            <w:r>
              <w:rPr>
                <w:sz w:val="22"/>
              </w:rPr>
              <w:t>Réalisation des différents types de collecte :</w:t>
            </w:r>
          </w:p>
          <w:p>
            <w:pPr>
              <w:pStyle w:val="TableParagraph"/>
              <w:numPr>
                <w:ilvl w:val="0"/>
                <w:numId w:val="4"/>
              </w:numPr>
              <w:tabs>
                <w:tab w:pos="830" w:val="left" w:leader="none"/>
                <w:tab w:pos="831" w:val="left" w:leader="none"/>
              </w:tabs>
              <w:spacing w:line="240" w:lineRule="auto" w:before="0" w:after="0"/>
              <w:ind w:left="830" w:right="592" w:hanging="360"/>
              <w:jc w:val="left"/>
              <w:rPr>
                <w:sz w:val="22"/>
              </w:rPr>
            </w:pPr>
            <w:r>
              <w:rPr>
                <w:sz w:val="22"/>
              </w:rPr>
              <w:t>en porte à porte par des bacs roulants ou sacs (service complet ou service normal)</w:t>
            </w:r>
            <w:r>
              <w:rPr>
                <w:spacing w:val="-1"/>
                <w:sz w:val="22"/>
              </w:rPr>
              <w:t> </w:t>
            </w:r>
            <w:r>
              <w:rPr>
                <w:sz w:val="22"/>
              </w:rPr>
              <w:t>;</w:t>
            </w:r>
          </w:p>
          <w:p>
            <w:pPr>
              <w:pStyle w:val="TableParagraph"/>
              <w:numPr>
                <w:ilvl w:val="0"/>
                <w:numId w:val="4"/>
              </w:numPr>
              <w:tabs>
                <w:tab w:pos="830" w:val="left" w:leader="none"/>
                <w:tab w:pos="831" w:val="left" w:leader="none"/>
              </w:tabs>
              <w:spacing w:line="240" w:lineRule="auto" w:before="0" w:after="0"/>
              <w:ind w:left="830" w:right="746" w:hanging="360"/>
              <w:jc w:val="left"/>
              <w:rPr>
                <w:sz w:val="22"/>
              </w:rPr>
            </w:pPr>
            <w:r>
              <w:rPr>
                <w:sz w:val="22"/>
              </w:rPr>
              <w:t>en apport volontaire en vrac sur site dédié, en silos ou containers (enterrés ou aériens), en déchèterie</w:t>
            </w:r>
            <w:r>
              <w:rPr>
                <w:spacing w:val="1"/>
                <w:sz w:val="22"/>
              </w:rPr>
              <w:t> </w:t>
            </w:r>
            <w:r>
              <w:rPr>
                <w:sz w:val="22"/>
              </w:rPr>
              <w:t>;</w:t>
            </w:r>
          </w:p>
          <w:p>
            <w:pPr>
              <w:pStyle w:val="TableParagraph"/>
              <w:numPr>
                <w:ilvl w:val="0"/>
                <w:numId w:val="4"/>
              </w:numPr>
              <w:tabs>
                <w:tab w:pos="830" w:val="left" w:leader="none"/>
                <w:tab w:pos="831" w:val="left" w:leader="none"/>
              </w:tabs>
              <w:spacing w:line="240" w:lineRule="auto" w:before="0" w:after="0"/>
              <w:ind w:left="830" w:right="0" w:hanging="360"/>
              <w:jc w:val="left"/>
              <w:rPr>
                <w:sz w:val="22"/>
              </w:rPr>
            </w:pPr>
            <w:r>
              <w:rPr>
                <w:sz w:val="22"/>
              </w:rPr>
              <w:t>à domicile pour les objets</w:t>
            </w:r>
            <w:r>
              <w:rPr>
                <w:spacing w:val="-1"/>
                <w:sz w:val="22"/>
              </w:rPr>
              <w:t> </w:t>
            </w:r>
            <w:r>
              <w:rPr>
                <w:sz w:val="22"/>
              </w:rPr>
              <w:t>encombrants</w:t>
            </w:r>
          </w:p>
        </w:tc>
      </w:tr>
      <w:tr>
        <w:trPr>
          <w:trHeight w:val="1422" w:hRule="atLeast"/>
        </w:trPr>
        <w:tc>
          <w:tcPr>
            <w:tcW w:w="2943" w:type="dxa"/>
            <w:tcBorders>
              <w:top w:val="nil"/>
            </w:tcBorders>
          </w:tcPr>
          <w:p>
            <w:pPr>
              <w:pStyle w:val="TableParagraph"/>
              <w:spacing w:before="215"/>
              <w:ind w:left="107" w:right="360"/>
              <w:rPr>
                <w:sz w:val="22"/>
              </w:rPr>
            </w:pPr>
            <w:r>
              <w:rPr>
                <w:sz w:val="22"/>
              </w:rPr>
              <w:t>Collecte des déchets auprès des industriels ou de professionnels</w:t>
            </w:r>
          </w:p>
        </w:tc>
        <w:tc>
          <w:tcPr>
            <w:tcW w:w="7940" w:type="dxa"/>
            <w:tcBorders>
              <w:top w:val="nil"/>
            </w:tcBorders>
          </w:tcPr>
          <w:p>
            <w:pPr>
              <w:pStyle w:val="TableParagraph"/>
              <w:spacing w:before="88"/>
              <w:rPr>
                <w:sz w:val="22"/>
              </w:rPr>
            </w:pPr>
            <w:r>
              <w:rPr>
                <w:sz w:val="22"/>
              </w:rPr>
              <w:t>Réalisation des différents types de collecte :</w:t>
            </w:r>
          </w:p>
          <w:p>
            <w:pPr>
              <w:pStyle w:val="TableParagraph"/>
              <w:numPr>
                <w:ilvl w:val="0"/>
                <w:numId w:val="5"/>
              </w:numPr>
              <w:tabs>
                <w:tab w:pos="830" w:val="left" w:leader="none"/>
                <w:tab w:pos="831" w:val="left" w:leader="none"/>
              </w:tabs>
              <w:spacing w:line="240" w:lineRule="auto" w:before="1" w:after="0"/>
              <w:ind w:left="830" w:right="223" w:hanging="360"/>
              <w:jc w:val="left"/>
              <w:rPr>
                <w:sz w:val="22"/>
              </w:rPr>
            </w:pPr>
            <w:r>
              <w:rPr>
                <w:sz w:val="22"/>
              </w:rPr>
              <w:t>sur site par pose et dépose de bennes, de containers, de compacteurs dans le respect du cahier des charges</w:t>
            </w:r>
            <w:r>
              <w:rPr>
                <w:spacing w:val="-5"/>
                <w:sz w:val="22"/>
              </w:rPr>
              <w:t> </w:t>
            </w:r>
            <w:r>
              <w:rPr>
                <w:sz w:val="22"/>
              </w:rPr>
              <w:t>;</w:t>
            </w:r>
          </w:p>
          <w:p>
            <w:pPr>
              <w:pStyle w:val="TableParagraph"/>
              <w:numPr>
                <w:ilvl w:val="0"/>
                <w:numId w:val="5"/>
              </w:numPr>
              <w:tabs>
                <w:tab w:pos="830" w:val="left" w:leader="none"/>
                <w:tab w:pos="831" w:val="left" w:leader="none"/>
              </w:tabs>
              <w:spacing w:line="251" w:lineRule="exact" w:before="0" w:after="0"/>
              <w:ind w:left="830" w:right="0" w:hanging="360"/>
              <w:jc w:val="left"/>
              <w:rPr>
                <w:sz w:val="22"/>
              </w:rPr>
            </w:pPr>
            <w:r>
              <w:rPr>
                <w:sz w:val="22"/>
              </w:rPr>
              <w:t>sur site avec un conditionnement particulier selon la nature du déchet</w:t>
            </w:r>
            <w:r>
              <w:rPr>
                <w:spacing w:val="-15"/>
                <w:sz w:val="22"/>
              </w:rPr>
              <w:t> </w:t>
            </w:r>
            <w:r>
              <w:rPr>
                <w:sz w:val="22"/>
              </w:rPr>
              <w:t>;</w:t>
            </w:r>
          </w:p>
          <w:p>
            <w:pPr>
              <w:pStyle w:val="TableParagraph"/>
              <w:numPr>
                <w:ilvl w:val="0"/>
                <w:numId w:val="5"/>
              </w:numPr>
              <w:tabs>
                <w:tab w:pos="830" w:val="left" w:leader="none"/>
                <w:tab w:pos="831" w:val="left" w:leader="none"/>
              </w:tabs>
              <w:spacing w:line="240" w:lineRule="auto" w:before="1" w:after="0"/>
              <w:ind w:left="830" w:right="0" w:hanging="360"/>
              <w:jc w:val="left"/>
              <w:rPr>
                <w:sz w:val="22"/>
              </w:rPr>
            </w:pPr>
            <w:r>
              <w:rPr>
                <w:sz w:val="22"/>
              </w:rPr>
              <w:t>en apport volontaire en</w:t>
            </w:r>
            <w:r>
              <w:rPr>
                <w:spacing w:val="-1"/>
                <w:sz w:val="22"/>
              </w:rPr>
              <w:t> </w:t>
            </w:r>
            <w:r>
              <w:rPr>
                <w:sz w:val="22"/>
              </w:rPr>
              <w:t>déchèterie</w:t>
            </w:r>
          </w:p>
        </w:tc>
      </w:tr>
      <w:tr>
        <w:trPr>
          <w:trHeight w:val="426" w:hRule="atLeast"/>
        </w:trPr>
        <w:tc>
          <w:tcPr>
            <w:tcW w:w="10883" w:type="dxa"/>
            <w:gridSpan w:val="2"/>
          </w:tcPr>
          <w:p>
            <w:pPr>
              <w:pStyle w:val="TableParagraph"/>
              <w:spacing w:before="84"/>
              <w:ind w:left="107"/>
              <w:rPr>
                <w:i/>
                <w:sz w:val="22"/>
              </w:rPr>
            </w:pPr>
            <w:r>
              <w:rPr>
                <w:i/>
                <w:sz w:val="22"/>
              </w:rPr>
              <w:t>Techniques de tri et d’orientation des déchets en vue du transfert, traitement et recyclage - valorisation</w:t>
            </w:r>
          </w:p>
        </w:tc>
      </w:tr>
      <w:tr>
        <w:trPr>
          <w:trHeight w:val="402" w:hRule="atLeast"/>
        </w:trPr>
        <w:tc>
          <w:tcPr>
            <w:tcW w:w="2943" w:type="dxa"/>
          </w:tcPr>
          <w:p>
            <w:pPr>
              <w:pStyle w:val="TableParagraph"/>
              <w:spacing w:before="69"/>
              <w:ind w:left="0" w:right="1001"/>
              <w:jc w:val="right"/>
              <w:rPr>
                <w:b/>
                <w:sz w:val="22"/>
              </w:rPr>
            </w:pPr>
            <w:r>
              <w:rPr>
                <w:b/>
                <w:sz w:val="22"/>
              </w:rPr>
              <w:t>Activités</w:t>
            </w:r>
          </w:p>
        </w:tc>
        <w:tc>
          <w:tcPr>
            <w:tcW w:w="7940" w:type="dxa"/>
          </w:tcPr>
          <w:p>
            <w:pPr>
              <w:pStyle w:val="TableParagraph"/>
              <w:spacing w:before="69"/>
              <w:ind w:left="0" w:right="3578"/>
              <w:jc w:val="right"/>
              <w:rPr>
                <w:b/>
                <w:sz w:val="22"/>
              </w:rPr>
            </w:pPr>
            <w:r>
              <w:rPr>
                <w:b/>
                <w:sz w:val="22"/>
              </w:rPr>
              <w:t>Tâches</w:t>
            </w:r>
          </w:p>
        </w:tc>
      </w:tr>
      <w:tr>
        <w:trPr>
          <w:trHeight w:val="1375" w:hRule="atLeast"/>
        </w:trPr>
        <w:tc>
          <w:tcPr>
            <w:tcW w:w="2943" w:type="dxa"/>
            <w:tcBorders>
              <w:bottom w:val="nil"/>
            </w:tcBorders>
          </w:tcPr>
          <w:p>
            <w:pPr>
              <w:pStyle w:val="TableParagraph"/>
              <w:spacing w:before="38"/>
              <w:ind w:left="107"/>
              <w:rPr>
                <w:sz w:val="22"/>
              </w:rPr>
            </w:pPr>
            <w:r>
              <w:rPr>
                <w:sz w:val="22"/>
              </w:rPr>
              <w:t>Réception</w:t>
            </w:r>
          </w:p>
        </w:tc>
        <w:tc>
          <w:tcPr>
            <w:tcW w:w="7940" w:type="dxa"/>
            <w:tcBorders>
              <w:bottom w:val="nil"/>
            </w:tcBorders>
          </w:tcPr>
          <w:p>
            <w:pPr>
              <w:pStyle w:val="TableParagraph"/>
              <w:spacing w:line="252" w:lineRule="exact" w:before="38"/>
              <w:rPr>
                <w:sz w:val="22"/>
              </w:rPr>
            </w:pPr>
            <w:r>
              <w:rPr>
                <w:sz w:val="22"/>
              </w:rPr>
              <w:t>Accueil, réception et orientation sur sites :</w:t>
            </w:r>
          </w:p>
          <w:p>
            <w:pPr>
              <w:pStyle w:val="TableParagraph"/>
              <w:numPr>
                <w:ilvl w:val="0"/>
                <w:numId w:val="6"/>
              </w:numPr>
              <w:tabs>
                <w:tab w:pos="830" w:val="left" w:leader="none"/>
                <w:tab w:pos="831" w:val="left" w:leader="none"/>
              </w:tabs>
              <w:spacing w:line="252" w:lineRule="exact" w:before="0" w:after="0"/>
              <w:ind w:left="830" w:right="0" w:hanging="360"/>
              <w:jc w:val="left"/>
              <w:rPr>
                <w:sz w:val="22"/>
              </w:rPr>
            </w:pPr>
            <w:r>
              <w:rPr>
                <w:sz w:val="22"/>
              </w:rPr>
              <w:t>en déchèteries</w:t>
            </w:r>
            <w:r>
              <w:rPr>
                <w:spacing w:val="-3"/>
                <w:sz w:val="22"/>
              </w:rPr>
              <w:t> </w:t>
            </w:r>
            <w:r>
              <w:rPr>
                <w:sz w:val="22"/>
              </w:rPr>
              <w:t>;</w:t>
            </w:r>
          </w:p>
          <w:p>
            <w:pPr>
              <w:pStyle w:val="TableParagraph"/>
              <w:numPr>
                <w:ilvl w:val="0"/>
                <w:numId w:val="6"/>
              </w:numPr>
              <w:tabs>
                <w:tab w:pos="830" w:val="left" w:leader="none"/>
                <w:tab w:pos="831" w:val="left" w:leader="none"/>
              </w:tabs>
              <w:spacing w:line="253" w:lineRule="exact" w:before="0" w:after="0"/>
              <w:ind w:left="830" w:right="0" w:hanging="360"/>
              <w:jc w:val="left"/>
              <w:rPr>
                <w:sz w:val="22"/>
              </w:rPr>
            </w:pPr>
            <w:r>
              <w:rPr>
                <w:sz w:val="22"/>
              </w:rPr>
              <w:t>en centres de tri, de transfert</w:t>
            </w:r>
            <w:r>
              <w:rPr>
                <w:spacing w:val="-7"/>
                <w:sz w:val="22"/>
              </w:rPr>
              <w:t> </w:t>
            </w:r>
            <w:r>
              <w:rPr>
                <w:sz w:val="22"/>
              </w:rPr>
              <w:t>;</w:t>
            </w:r>
          </w:p>
          <w:p>
            <w:pPr>
              <w:pStyle w:val="TableParagraph"/>
              <w:numPr>
                <w:ilvl w:val="0"/>
                <w:numId w:val="6"/>
              </w:numPr>
              <w:tabs>
                <w:tab w:pos="830" w:val="left" w:leader="none"/>
                <w:tab w:pos="831" w:val="left" w:leader="none"/>
              </w:tabs>
              <w:spacing w:line="253" w:lineRule="exact" w:before="1" w:after="0"/>
              <w:ind w:left="830" w:right="0" w:hanging="360"/>
              <w:jc w:val="left"/>
              <w:rPr>
                <w:sz w:val="22"/>
              </w:rPr>
            </w:pPr>
            <w:r>
              <w:rPr>
                <w:sz w:val="22"/>
              </w:rPr>
              <w:t>en installations de stockage</w:t>
            </w:r>
            <w:r>
              <w:rPr>
                <w:spacing w:val="-4"/>
                <w:sz w:val="22"/>
              </w:rPr>
              <w:t> </w:t>
            </w:r>
            <w:r>
              <w:rPr>
                <w:sz w:val="22"/>
              </w:rPr>
              <w:t>;</w:t>
            </w:r>
          </w:p>
          <w:p>
            <w:pPr>
              <w:pStyle w:val="TableParagraph"/>
              <w:numPr>
                <w:ilvl w:val="0"/>
                <w:numId w:val="6"/>
              </w:numPr>
              <w:tabs>
                <w:tab w:pos="830" w:val="left" w:leader="none"/>
                <w:tab w:pos="831" w:val="left" w:leader="none"/>
              </w:tabs>
              <w:spacing w:line="253" w:lineRule="exact" w:before="0" w:after="0"/>
              <w:ind w:left="830" w:right="0" w:hanging="360"/>
              <w:jc w:val="left"/>
              <w:rPr>
                <w:sz w:val="22"/>
              </w:rPr>
            </w:pPr>
            <w:r>
              <w:rPr>
                <w:sz w:val="22"/>
              </w:rPr>
              <w:t>en industries de</w:t>
            </w:r>
            <w:r>
              <w:rPr>
                <w:spacing w:val="-5"/>
                <w:sz w:val="22"/>
              </w:rPr>
              <w:t> </w:t>
            </w:r>
            <w:r>
              <w:rPr>
                <w:sz w:val="22"/>
              </w:rPr>
              <w:t>recyclage</w:t>
            </w:r>
          </w:p>
        </w:tc>
      </w:tr>
      <w:tr>
        <w:trPr>
          <w:trHeight w:val="1528" w:hRule="atLeast"/>
        </w:trPr>
        <w:tc>
          <w:tcPr>
            <w:tcW w:w="2943" w:type="dxa"/>
            <w:tcBorders>
              <w:top w:val="nil"/>
              <w:bottom w:val="nil"/>
            </w:tcBorders>
          </w:tcPr>
          <w:p>
            <w:pPr>
              <w:pStyle w:val="TableParagraph"/>
              <w:spacing w:before="65"/>
              <w:ind w:left="107" w:right="1716"/>
              <w:rPr>
                <w:sz w:val="22"/>
              </w:rPr>
            </w:pPr>
            <w:r>
              <w:rPr>
                <w:sz w:val="22"/>
              </w:rPr>
              <w:t>Tri </w:t>
            </w:r>
            <w:r>
              <w:rPr>
                <w:spacing w:val="-1"/>
                <w:sz w:val="22"/>
              </w:rPr>
              <w:t>Dépollution</w:t>
            </w:r>
          </w:p>
          <w:p>
            <w:pPr>
              <w:pStyle w:val="TableParagraph"/>
              <w:ind w:left="107" w:right="1266"/>
              <w:rPr>
                <w:sz w:val="22"/>
              </w:rPr>
            </w:pPr>
            <w:r>
              <w:rPr>
                <w:spacing w:val="-1"/>
                <w:sz w:val="22"/>
              </w:rPr>
              <w:t>Démantèlement </w:t>
            </w:r>
            <w:r>
              <w:rPr>
                <w:sz w:val="22"/>
              </w:rPr>
              <w:t>Orientation</w:t>
            </w:r>
          </w:p>
        </w:tc>
        <w:tc>
          <w:tcPr>
            <w:tcW w:w="7940" w:type="dxa"/>
            <w:tcBorders>
              <w:top w:val="nil"/>
              <w:bottom w:val="nil"/>
            </w:tcBorders>
          </w:tcPr>
          <w:p>
            <w:pPr>
              <w:pStyle w:val="TableParagraph"/>
              <w:spacing w:before="135"/>
              <w:rPr>
                <w:sz w:val="22"/>
              </w:rPr>
            </w:pPr>
            <w:r>
              <w:rPr>
                <w:sz w:val="22"/>
              </w:rPr>
              <w:t>Tri des déchets ferreux et non ferreux, plastiques, papiers, cartons, bois, verre, piles et lampes, textiles, solvants, pneus, déchets verts, du bâtiment…</w:t>
            </w:r>
          </w:p>
          <w:p>
            <w:pPr>
              <w:pStyle w:val="TableParagraph"/>
              <w:spacing w:line="252" w:lineRule="exact"/>
              <w:rPr>
                <w:sz w:val="22"/>
              </w:rPr>
            </w:pPr>
            <w:r>
              <w:rPr>
                <w:sz w:val="22"/>
              </w:rPr>
              <w:t>Tri des matières issues du démantèlement</w:t>
            </w:r>
          </w:p>
          <w:p>
            <w:pPr>
              <w:pStyle w:val="TableParagraph"/>
              <w:ind w:right="1819"/>
              <w:rPr>
                <w:sz w:val="22"/>
              </w:rPr>
            </w:pPr>
            <w:r>
              <w:rPr>
                <w:sz w:val="22"/>
              </w:rPr>
              <w:t>Tri des déchets des équipements électriques et électroniques Orientation des matières vers la filière de traitement adaptée</w:t>
            </w:r>
          </w:p>
        </w:tc>
      </w:tr>
      <w:tr>
        <w:trPr>
          <w:trHeight w:val="1265" w:hRule="atLeast"/>
        </w:trPr>
        <w:tc>
          <w:tcPr>
            <w:tcW w:w="2943" w:type="dxa"/>
            <w:tcBorders>
              <w:top w:val="nil"/>
              <w:bottom w:val="nil"/>
            </w:tcBorders>
          </w:tcPr>
          <w:p>
            <w:pPr>
              <w:pStyle w:val="TableParagraph"/>
              <w:spacing w:before="123"/>
              <w:ind w:left="107" w:right="1142"/>
              <w:rPr>
                <w:sz w:val="22"/>
              </w:rPr>
            </w:pPr>
            <w:r>
              <w:rPr>
                <w:sz w:val="22"/>
              </w:rPr>
              <w:t>Conditionnement Stockage</w:t>
            </w:r>
          </w:p>
        </w:tc>
        <w:tc>
          <w:tcPr>
            <w:tcW w:w="7940" w:type="dxa"/>
            <w:tcBorders>
              <w:top w:val="nil"/>
              <w:bottom w:val="nil"/>
            </w:tcBorders>
          </w:tcPr>
          <w:p>
            <w:pPr>
              <w:pStyle w:val="TableParagraph"/>
              <w:spacing w:before="123"/>
              <w:ind w:right="83"/>
              <w:rPr>
                <w:sz w:val="22"/>
              </w:rPr>
            </w:pPr>
            <w:r>
              <w:rPr>
                <w:sz w:val="22"/>
              </w:rPr>
              <w:t>Mise en œuvre de traitements spécifiques préalables au conditionnement Conditionnement des déchets chez le client, en centre de tri, en déchetterie, en centre de transfert, au sein de l’entreprise de recyclage…</w:t>
            </w:r>
          </w:p>
          <w:p>
            <w:pPr>
              <w:pStyle w:val="TableParagraph"/>
              <w:spacing w:line="252" w:lineRule="exact"/>
              <w:rPr>
                <w:sz w:val="22"/>
              </w:rPr>
            </w:pPr>
            <w:r>
              <w:rPr>
                <w:sz w:val="22"/>
              </w:rPr>
              <w:t>Mise en place de la traçabilité des déchets, matières, produits et stockage</w:t>
            </w:r>
          </w:p>
        </w:tc>
      </w:tr>
      <w:tr>
        <w:trPr>
          <w:trHeight w:val="420" w:hRule="atLeast"/>
        </w:trPr>
        <w:tc>
          <w:tcPr>
            <w:tcW w:w="2943" w:type="dxa"/>
            <w:tcBorders>
              <w:top w:val="nil"/>
            </w:tcBorders>
          </w:tcPr>
          <w:p>
            <w:pPr>
              <w:pStyle w:val="TableParagraph"/>
              <w:spacing w:before="123"/>
              <w:ind w:left="107"/>
              <w:rPr>
                <w:sz w:val="22"/>
              </w:rPr>
            </w:pPr>
            <w:r>
              <w:rPr>
                <w:sz w:val="22"/>
              </w:rPr>
              <w:t>Transfert</w:t>
            </w:r>
          </w:p>
        </w:tc>
        <w:tc>
          <w:tcPr>
            <w:tcW w:w="7940" w:type="dxa"/>
            <w:tcBorders>
              <w:top w:val="nil"/>
            </w:tcBorders>
          </w:tcPr>
          <w:p>
            <w:pPr>
              <w:pStyle w:val="TableParagraph"/>
              <w:spacing w:before="123"/>
              <w:ind w:left="0" w:right="3631"/>
              <w:jc w:val="right"/>
              <w:rPr>
                <w:sz w:val="22"/>
              </w:rPr>
            </w:pPr>
            <w:r>
              <w:rPr>
                <w:sz w:val="22"/>
              </w:rPr>
              <w:t>Transfert des déchets, matières et produits</w:t>
            </w:r>
          </w:p>
        </w:tc>
      </w:tr>
    </w:tbl>
    <w:p>
      <w:pPr>
        <w:spacing w:after="0"/>
        <w:jc w:val="right"/>
        <w:rPr>
          <w:sz w:val="22"/>
        </w:rPr>
        <w:sectPr>
          <w:pgSz w:w="11910" w:h="16840"/>
          <w:pgMar w:top="540" w:bottom="280" w:left="320" w:right="440"/>
        </w:sectPr>
      </w:pPr>
    </w:p>
    <w:tbl>
      <w:tblPr>
        <w:tblW w:w="0" w:type="auto"/>
        <w:jc w:val="left"/>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943"/>
        <w:gridCol w:w="7940"/>
      </w:tblGrid>
      <w:tr>
        <w:trPr>
          <w:trHeight w:val="580" w:hRule="atLeast"/>
        </w:trPr>
        <w:tc>
          <w:tcPr>
            <w:tcW w:w="10883" w:type="dxa"/>
            <w:gridSpan w:val="2"/>
          </w:tcPr>
          <w:p>
            <w:pPr>
              <w:pStyle w:val="TableParagraph"/>
              <w:spacing w:before="149"/>
              <w:ind w:left="1699"/>
              <w:rPr>
                <w:b/>
                <w:i/>
                <w:sz w:val="24"/>
              </w:rPr>
            </w:pPr>
            <w:r>
              <w:rPr>
                <w:b/>
                <w:i/>
                <w:sz w:val="24"/>
              </w:rPr>
              <w:t>Fonction participation aux opérations de traçabilité et de contrôle</w:t>
            </w:r>
          </w:p>
        </w:tc>
      </w:tr>
      <w:tr>
        <w:trPr>
          <w:trHeight w:val="420" w:hRule="atLeast"/>
        </w:trPr>
        <w:tc>
          <w:tcPr>
            <w:tcW w:w="2943" w:type="dxa"/>
          </w:tcPr>
          <w:p>
            <w:pPr>
              <w:pStyle w:val="TableParagraph"/>
              <w:spacing w:before="79"/>
              <w:ind w:left="992" w:right="983"/>
              <w:jc w:val="center"/>
              <w:rPr>
                <w:b/>
                <w:sz w:val="22"/>
              </w:rPr>
            </w:pPr>
            <w:r>
              <w:rPr>
                <w:b/>
                <w:sz w:val="22"/>
              </w:rPr>
              <w:t>Activités</w:t>
            </w:r>
          </w:p>
        </w:tc>
        <w:tc>
          <w:tcPr>
            <w:tcW w:w="7940" w:type="dxa"/>
          </w:tcPr>
          <w:p>
            <w:pPr>
              <w:pStyle w:val="TableParagraph"/>
              <w:spacing w:before="79"/>
              <w:ind w:left="3572" w:right="3559"/>
              <w:jc w:val="center"/>
              <w:rPr>
                <w:b/>
                <w:sz w:val="22"/>
              </w:rPr>
            </w:pPr>
            <w:r>
              <w:rPr>
                <w:b/>
                <w:sz w:val="22"/>
              </w:rPr>
              <w:t>Tâches</w:t>
            </w:r>
          </w:p>
        </w:tc>
      </w:tr>
      <w:tr>
        <w:trPr>
          <w:trHeight w:val="5100" w:hRule="atLeast"/>
        </w:trPr>
        <w:tc>
          <w:tcPr>
            <w:tcW w:w="2943" w:type="dxa"/>
          </w:tcPr>
          <w:p>
            <w:pPr>
              <w:pStyle w:val="TableParagraph"/>
              <w:ind w:left="0"/>
              <w:rPr>
                <w:sz w:val="24"/>
              </w:rPr>
            </w:pPr>
          </w:p>
          <w:p>
            <w:pPr>
              <w:pStyle w:val="TableParagraph"/>
              <w:ind w:left="0"/>
              <w:rPr>
                <w:sz w:val="24"/>
              </w:rPr>
            </w:pPr>
          </w:p>
          <w:p>
            <w:pPr>
              <w:pStyle w:val="TableParagraph"/>
              <w:spacing w:before="5"/>
              <w:ind w:left="0"/>
              <w:rPr>
                <w:sz w:val="20"/>
              </w:rPr>
            </w:pPr>
          </w:p>
          <w:p>
            <w:pPr>
              <w:pStyle w:val="TableParagraph"/>
              <w:ind w:left="107"/>
              <w:rPr>
                <w:sz w:val="22"/>
              </w:rPr>
            </w:pPr>
            <w:r>
              <w:rPr>
                <w:sz w:val="22"/>
              </w:rPr>
              <w:t>Contrôle des équipements</w:t>
            </w:r>
          </w:p>
          <w:p>
            <w:pPr>
              <w:pStyle w:val="TableParagraph"/>
              <w:spacing w:before="208"/>
              <w:ind w:left="107" w:right="225"/>
              <w:rPr>
                <w:sz w:val="22"/>
              </w:rPr>
            </w:pPr>
            <w:r>
              <w:rPr>
                <w:sz w:val="22"/>
              </w:rPr>
              <w:t>Maintenance préventive et de premier niveau</w:t>
            </w:r>
          </w:p>
          <w:p>
            <w:pPr>
              <w:pStyle w:val="TableParagraph"/>
              <w:ind w:left="0"/>
              <w:rPr>
                <w:sz w:val="24"/>
              </w:rPr>
            </w:pPr>
          </w:p>
          <w:p>
            <w:pPr>
              <w:pStyle w:val="TableParagraph"/>
              <w:ind w:left="0"/>
              <w:rPr>
                <w:sz w:val="24"/>
              </w:rPr>
            </w:pPr>
          </w:p>
          <w:p>
            <w:pPr>
              <w:pStyle w:val="TableParagraph"/>
              <w:ind w:left="0"/>
              <w:rPr>
                <w:sz w:val="24"/>
              </w:rPr>
            </w:pPr>
          </w:p>
          <w:p>
            <w:pPr>
              <w:pStyle w:val="TableParagraph"/>
              <w:spacing w:before="161"/>
              <w:ind w:left="107"/>
              <w:rPr>
                <w:sz w:val="22"/>
              </w:rPr>
            </w:pPr>
            <w:r>
              <w:rPr>
                <w:sz w:val="22"/>
              </w:rPr>
              <w:t>Traçabilité des opérations</w:t>
            </w:r>
          </w:p>
          <w:p>
            <w:pPr>
              <w:pStyle w:val="TableParagraph"/>
              <w:ind w:left="0"/>
              <w:rPr>
                <w:sz w:val="22"/>
              </w:rPr>
            </w:pPr>
          </w:p>
          <w:p>
            <w:pPr>
              <w:pStyle w:val="TableParagraph"/>
              <w:ind w:left="107" w:right="849"/>
              <w:rPr>
                <w:sz w:val="22"/>
              </w:rPr>
            </w:pPr>
            <w:r>
              <w:rPr>
                <w:sz w:val="22"/>
              </w:rPr>
              <w:t>Contrôle qualité des prestations</w:t>
            </w:r>
          </w:p>
        </w:tc>
        <w:tc>
          <w:tcPr>
            <w:tcW w:w="7940" w:type="dxa"/>
          </w:tcPr>
          <w:p>
            <w:pPr>
              <w:pStyle w:val="TableParagraph"/>
              <w:spacing w:before="163"/>
              <w:rPr>
                <w:sz w:val="22"/>
              </w:rPr>
            </w:pPr>
            <w:r>
              <w:rPr>
                <w:sz w:val="22"/>
              </w:rPr>
              <w:t>Vérification du matériel et équipements avant chaque intervention</w:t>
            </w:r>
          </w:p>
          <w:p>
            <w:pPr>
              <w:pStyle w:val="TableParagraph"/>
              <w:ind w:left="0"/>
              <w:rPr>
                <w:sz w:val="24"/>
              </w:rPr>
            </w:pPr>
          </w:p>
          <w:p>
            <w:pPr>
              <w:pStyle w:val="TableParagraph"/>
              <w:spacing w:before="184"/>
              <w:ind w:right="364"/>
              <w:rPr>
                <w:sz w:val="22"/>
              </w:rPr>
            </w:pPr>
            <w:r>
              <w:rPr>
                <w:sz w:val="22"/>
              </w:rPr>
              <w:t>Réalisation des opérations de maintenance préventive en vue de garantir un bon état de fonctionnement des matériels et des engins</w:t>
            </w:r>
          </w:p>
          <w:p>
            <w:pPr>
              <w:pStyle w:val="TableParagraph"/>
              <w:ind w:right="1049"/>
              <w:rPr>
                <w:sz w:val="22"/>
              </w:rPr>
            </w:pPr>
            <w:r>
              <w:rPr>
                <w:sz w:val="22"/>
              </w:rPr>
              <w:t>Identification et traitement du dysfonctionnement en respectant les consignes et les procédures notamment celles relatives à la sécurité Intervention selon la nature ou le niveau de gravité de l’anomal ie et signalement à la personne qualifiée</w:t>
            </w:r>
          </w:p>
          <w:p>
            <w:pPr>
              <w:pStyle w:val="TableParagraph"/>
              <w:spacing w:before="2"/>
              <w:ind w:left="0"/>
              <w:rPr>
                <w:sz w:val="22"/>
              </w:rPr>
            </w:pPr>
          </w:p>
          <w:p>
            <w:pPr>
              <w:pStyle w:val="TableParagraph"/>
              <w:ind w:right="951"/>
              <w:rPr>
                <w:sz w:val="22"/>
              </w:rPr>
            </w:pPr>
            <w:r>
              <w:rPr>
                <w:sz w:val="22"/>
              </w:rPr>
              <w:t>Suivi de la traçabilité des déchets par enregistrement des informations pertinentes à chaque étape de la procédure</w:t>
            </w:r>
          </w:p>
          <w:p>
            <w:pPr>
              <w:pStyle w:val="TableParagraph"/>
              <w:spacing w:before="7"/>
              <w:ind w:left="0"/>
              <w:rPr>
                <w:sz w:val="22"/>
              </w:rPr>
            </w:pPr>
          </w:p>
          <w:p>
            <w:pPr>
              <w:pStyle w:val="TableParagraph"/>
              <w:spacing w:before="1"/>
              <w:ind w:right="1012"/>
              <w:rPr>
                <w:sz w:val="22"/>
              </w:rPr>
            </w:pPr>
            <w:r>
              <w:rPr>
                <w:sz w:val="22"/>
              </w:rPr>
              <w:t>Réalisation de contrôles qualitatif et quantitatif au cours de l’activité Réalisation de contrôle visuel, de contrôle par prélèvement ou à l’aide d’appareil de mesures</w:t>
            </w:r>
          </w:p>
          <w:p>
            <w:pPr>
              <w:pStyle w:val="TableParagraph"/>
              <w:spacing w:line="252" w:lineRule="exact"/>
              <w:rPr>
                <w:sz w:val="22"/>
              </w:rPr>
            </w:pPr>
            <w:r>
              <w:rPr>
                <w:sz w:val="22"/>
              </w:rPr>
              <w:t>Enregistrement des résultats</w:t>
            </w:r>
          </w:p>
          <w:p>
            <w:pPr>
              <w:pStyle w:val="TableParagraph"/>
              <w:ind w:right="1502"/>
              <w:rPr>
                <w:sz w:val="22"/>
              </w:rPr>
            </w:pPr>
            <w:r>
              <w:rPr>
                <w:sz w:val="22"/>
              </w:rPr>
              <w:t>Repérage et signalement des prestations non conformes Application des mesures correctives voire de mesures d’urgence</w:t>
            </w:r>
          </w:p>
        </w:tc>
      </w:tr>
    </w:tbl>
    <w:sectPr>
      <w:pgSz w:w="11910" w:h="16840"/>
      <w:pgMar w:top="800" w:bottom="280" w:left="320" w:right="4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ourier New">
    <w:altName w:val="Courier New"/>
    <w:charset w:val="0"/>
    <w:family w:val="modern"/>
    <w:pitch w:val="fixed"/>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0"/>
      <w:numFmt w:val="bullet"/>
      <w:lvlText w:val="-"/>
      <w:lvlJc w:val="left"/>
      <w:pPr>
        <w:ind w:left="830" w:hanging="360"/>
      </w:pPr>
      <w:rPr>
        <w:rFonts w:hint="default" w:ascii="Times New Roman" w:hAnsi="Times New Roman" w:eastAsia="Times New Roman" w:cs="Times New Roman"/>
        <w:w w:val="100"/>
        <w:sz w:val="22"/>
        <w:szCs w:val="22"/>
        <w:lang w:val="fr-FR" w:eastAsia="fr-FR" w:bidi="fr-FR"/>
      </w:rPr>
    </w:lvl>
    <w:lvl w:ilvl="1">
      <w:start w:val="0"/>
      <w:numFmt w:val="bullet"/>
      <w:lvlText w:val="•"/>
      <w:lvlJc w:val="left"/>
      <w:pPr>
        <w:ind w:left="1549" w:hanging="360"/>
      </w:pPr>
      <w:rPr>
        <w:rFonts w:hint="default"/>
        <w:lang w:val="fr-FR" w:eastAsia="fr-FR" w:bidi="fr-FR"/>
      </w:rPr>
    </w:lvl>
    <w:lvl w:ilvl="2">
      <w:start w:val="0"/>
      <w:numFmt w:val="bullet"/>
      <w:lvlText w:val="•"/>
      <w:lvlJc w:val="left"/>
      <w:pPr>
        <w:ind w:left="2258" w:hanging="360"/>
      </w:pPr>
      <w:rPr>
        <w:rFonts w:hint="default"/>
        <w:lang w:val="fr-FR" w:eastAsia="fr-FR" w:bidi="fr-FR"/>
      </w:rPr>
    </w:lvl>
    <w:lvl w:ilvl="3">
      <w:start w:val="0"/>
      <w:numFmt w:val="bullet"/>
      <w:lvlText w:val="•"/>
      <w:lvlJc w:val="left"/>
      <w:pPr>
        <w:ind w:left="2967" w:hanging="360"/>
      </w:pPr>
      <w:rPr>
        <w:rFonts w:hint="default"/>
        <w:lang w:val="fr-FR" w:eastAsia="fr-FR" w:bidi="fr-FR"/>
      </w:rPr>
    </w:lvl>
    <w:lvl w:ilvl="4">
      <w:start w:val="0"/>
      <w:numFmt w:val="bullet"/>
      <w:lvlText w:val="•"/>
      <w:lvlJc w:val="left"/>
      <w:pPr>
        <w:ind w:left="3676" w:hanging="360"/>
      </w:pPr>
      <w:rPr>
        <w:rFonts w:hint="default"/>
        <w:lang w:val="fr-FR" w:eastAsia="fr-FR" w:bidi="fr-FR"/>
      </w:rPr>
    </w:lvl>
    <w:lvl w:ilvl="5">
      <w:start w:val="0"/>
      <w:numFmt w:val="bullet"/>
      <w:lvlText w:val="•"/>
      <w:lvlJc w:val="left"/>
      <w:pPr>
        <w:ind w:left="4385" w:hanging="360"/>
      </w:pPr>
      <w:rPr>
        <w:rFonts w:hint="default"/>
        <w:lang w:val="fr-FR" w:eastAsia="fr-FR" w:bidi="fr-FR"/>
      </w:rPr>
    </w:lvl>
    <w:lvl w:ilvl="6">
      <w:start w:val="0"/>
      <w:numFmt w:val="bullet"/>
      <w:lvlText w:val="•"/>
      <w:lvlJc w:val="left"/>
      <w:pPr>
        <w:ind w:left="5094" w:hanging="360"/>
      </w:pPr>
      <w:rPr>
        <w:rFonts w:hint="default"/>
        <w:lang w:val="fr-FR" w:eastAsia="fr-FR" w:bidi="fr-FR"/>
      </w:rPr>
    </w:lvl>
    <w:lvl w:ilvl="7">
      <w:start w:val="0"/>
      <w:numFmt w:val="bullet"/>
      <w:lvlText w:val="•"/>
      <w:lvlJc w:val="left"/>
      <w:pPr>
        <w:ind w:left="5803" w:hanging="360"/>
      </w:pPr>
      <w:rPr>
        <w:rFonts w:hint="default"/>
        <w:lang w:val="fr-FR" w:eastAsia="fr-FR" w:bidi="fr-FR"/>
      </w:rPr>
    </w:lvl>
    <w:lvl w:ilvl="8">
      <w:start w:val="0"/>
      <w:numFmt w:val="bullet"/>
      <w:lvlText w:val="•"/>
      <w:lvlJc w:val="left"/>
      <w:pPr>
        <w:ind w:left="6512" w:hanging="360"/>
      </w:pPr>
      <w:rPr>
        <w:rFonts w:hint="default"/>
        <w:lang w:val="fr-FR" w:eastAsia="fr-FR" w:bidi="fr-FR"/>
      </w:rPr>
    </w:lvl>
  </w:abstractNum>
  <w:abstractNum w:abstractNumId="4">
    <w:multiLevelType w:val="hybridMultilevel"/>
    <w:lvl w:ilvl="0">
      <w:start w:val="0"/>
      <w:numFmt w:val="bullet"/>
      <w:lvlText w:val="-"/>
      <w:lvlJc w:val="left"/>
      <w:pPr>
        <w:ind w:left="830" w:hanging="360"/>
      </w:pPr>
      <w:rPr>
        <w:rFonts w:hint="default" w:ascii="Times New Roman" w:hAnsi="Times New Roman" w:eastAsia="Times New Roman" w:cs="Times New Roman"/>
        <w:w w:val="100"/>
        <w:sz w:val="22"/>
        <w:szCs w:val="22"/>
        <w:lang w:val="fr-FR" w:eastAsia="fr-FR" w:bidi="fr-FR"/>
      </w:rPr>
    </w:lvl>
    <w:lvl w:ilvl="1">
      <w:start w:val="0"/>
      <w:numFmt w:val="bullet"/>
      <w:lvlText w:val="•"/>
      <w:lvlJc w:val="left"/>
      <w:pPr>
        <w:ind w:left="1549" w:hanging="360"/>
      </w:pPr>
      <w:rPr>
        <w:rFonts w:hint="default"/>
        <w:lang w:val="fr-FR" w:eastAsia="fr-FR" w:bidi="fr-FR"/>
      </w:rPr>
    </w:lvl>
    <w:lvl w:ilvl="2">
      <w:start w:val="0"/>
      <w:numFmt w:val="bullet"/>
      <w:lvlText w:val="•"/>
      <w:lvlJc w:val="left"/>
      <w:pPr>
        <w:ind w:left="2258" w:hanging="360"/>
      </w:pPr>
      <w:rPr>
        <w:rFonts w:hint="default"/>
        <w:lang w:val="fr-FR" w:eastAsia="fr-FR" w:bidi="fr-FR"/>
      </w:rPr>
    </w:lvl>
    <w:lvl w:ilvl="3">
      <w:start w:val="0"/>
      <w:numFmt w:val="bullet"/>
      <w:lvlText w:val="•"/>
      <w:lvlJc w:val="left"/>
      <w:pPr>
        <w:ind w:left="2967" w:hanging="360"/>
      </w:pPr>
      <w:rPr>
        <w:rFonts w:hint="default"/>
        <w:lang w:val="fr-FR" w:eastAsia="fr-FR" w:bidi="fr-FR"/>
      </w:rPr>
    </w:lvl>
    <w:lvl w:ilvl="4">
      <w:start w:val="0"/>
      <w:numFmt w:val="bullet"/>
      <w:lvlText w:val="•"/>
      <w:lvlJc w:val="left"/>
      <w:pPr>
        <w:ind w:left="3676" w:hanging="360"/>
      </w:pPr>
      <w:rPr>
        <w:rFonts w:hint="default"/>
        <w:lang w:val="fr-FR" w:eastAsia="fr-FR" w:bidi="fr-FR"/>
      </w:rPr>
    </w:lvl>
    <w:lvl w:ilvl="5">
      <w:start w:val="0"/>
      <w:numFmt w:val="bullet"/>
      <w:lvlText w:val="•"/>
      <w:lvlJc w:val="left"/>
      <w:pPr>
        <w:ind w:left="4385" w:hanging="360"/>
      </w:pPr>
      <w:rPr>
        <w:rFonts w:hint="default"/>
        <w:lang w:val="fr-FR" w:eastAsia="fr-FR" w:bidi="fr-FR"/>
      </w:rPr>
    </w:lvl>
    <w:lvl w:ilvl="6">
      <w:start w:val="0"/>
      <w:numFmt w:val="bullet"/>
      <w:lvlText w:val="•"/>
      <w:lvlJc w:val="left"/>
      <w:pPr>
        <w:ind w:left="5094" w:hanging="360"/>
      </w:pPr>
      <w:rPr>
        <w:rFonts w:hint="default"/>
        <w:lang w:val="fr-FR" w:eastAsia="fr-FR" w:bidi="fr-FR"/>
      </w:rPr>
    </w:lvl>
    <w:lvl w:ilvl="7">
      <w:start w:val="0"/>
      <w:numFmt w:val="bullet"/>
      <w:lvlText w:val="•"/>
      <w:lvlJc w:val="left"/>
      <w:pPr>
        <w:ind w:left="5803" w:hanging="360"/>
      </w:pPr>
      <w:rPr>
        <w:rFonts w:hint="default"/>
        <w:lang w:val="fr-FR" w:eastAsia="fr-FR" w:bidi="fr-FR"/>
      </w:rPr>
    </w:lvl>
    <w:lvl w:ilvl="8">
      <w:start w:val="0"/>
      <w:numFmt w:val="bullet"/>
      <w:lvlText w:val="•"/>
      <w:lvlJc w:val="left"/>
      <w:pPr>
        <w:ind w:left="6512" w:hanging="360"/>
      </w:pPr>
      <w:rPr>
        <w:rFonts w:hint="default"/>
        <w:lang w:val="fr-FR" w:eastAsia="fr-FR" w:bidi="fr-FR"/>
      </w:rPr>
    </w:lvl>
  </w:abstractNum>
  <w:abstractNum w:abstractNumId="3">
    <w:multiLevelType w:val="hybridMultilevel"/>
    <w:lvl w:ilvl="0">
      <w:start w:val="0"/>
      <w:numFmt w:val="bullet"/>
      <w:lvlText w:val="-"/>
      <w:lvlJc w:val="left"/>
      <w:pPr>
        <w:ind w:left="830" w:hanging="360"/>
      </w:pPr>
      <w:rPr>
        <w:rFonts w:hint="default" w:ascii="Times New Roman" w:hAnsi="Times New Roman" w:eastAsia="Times New Roman" w:cs="Times New Roman"/>
        <w:w w:val="100"/>
        <w:sz w:val="22"/>
        <w:szCs w:val="22"/>
        <w:lang w:val="fr-FR" w:eastAsia="fr-FR" w:bidi="fr-FR"/>
      </w:rPr>
    </w:lvl>
    <w:lvl w:ilvl="1">
      <w:start w:val="0"/>
      <w:numFmt w:val="bullet"/>
      <w:lvlText w:val="•"/>
      <w:lvlJc w:val="left"/>
      <w:pPr>
        <w:ind w:left="1549" w:hanging="360"/>
      </w:pPr>
      <w:rPr>
        <w:rFonts w:hint="default"/>
        <w:lang w:val="fr-FR" w:eastAsia="fr-FR" w:bidi="fr-FR"/>
      </w:rPr>
    </w:lvl>
    <w:lvl w:ilvl="2">
      <w:start w:val="0"/>
      <w:numFmt w:val="bullet"/>
      <w:lvlText w:val="•"/>
      <w:lvlJc w:val="left"/>
      <w:pPr>
        <w:ind w:left="2258" w:hanging="360"/>
      </w:pPr>
      <w:rPr>
        <w:rFonts w:hint="default"/>
        <w:lang w:val="fr-FR" w:eastAsia="fr-FR" w:bidi="fr-FR"/>
      </w:rPr>
    </w:lvl>
    <w:lvl w:ilvl="3">
      <w:start w:val="0"/>
      <w:numFmt w:val="bullet"/>
      <w:lvlText w:val="•"/>
      <w:lvlJc w:val="left"/>
      <w:pPr>
        <w:ind w:left="2967" w:hanging="360"/>
      </w:pPr>
      <w:rPr>
        <w:rFonts w:hint="default"/>
        <w:lang w:val="fr-FR" w:eastAsia="fr-FR" w:bidi="fr-FR"/>
      </w:rPr>
    </w:lvl>
    <w:lvl w:ilvl="4">
      <w:start w:val="0"/>
      <w:numFmt w:val="bullet"/>
      <w:lvlText w:val="•"/>
      <w:lvlJc w:val="left"/>
      <w:pPr>
        <w:ind w:left="3676" w:hanging="360"/>
      </w:pPr>
      <w:rPr>
        <w:rFonts w:hint="default"/>
        <w:lang w:val="fr-FR" w:eastAsia="fr-FR" w:bidi="fr-FR"/>
      </w:rPr>
    </w:lvl>
    <w:lvl w:ilvl="5">
      <w:start w:val="0"/>
      <w:numFmt w:val="bullet"/>
      <w:lvlText w:val="•"/>
      <w:lvlJc w:val="left"/>
      <w:pPr>
        <w:ind w:left="4385" w:hanging="360"/>
      </w:pPr>
      <w:rPr>
        <w:rFonts w:hint="default"/>
        <w:lang w:val="fr-FR" w:eastAsia="fr-FR" w:bidi="fr-FR"/>
      </w:rPr>
    </w:lvl>
    <w:lvl w:ilvl="6">
      <w:start w:val="0"/>
      <w:numFmt w:val="bullet"/>
      <w:lvlText w:val="•"/>
      <w:lvlJc w:val="left"/>
      <w:pPr>
        <w:ind w:left="5094" w:hanging="360"/>
      </w:pPr>
      <w:rPr>
        <w:rFonts w:hint="default"/>
        <w:lang w:val="fr-FR" w:eastAsia="fr-FR" w:bidi="fr-FR"/>
      </w:rPr>
    </w:lvl>
    <w:lvl w:ilvl="7">
      <w:start w:val="0"/>
      <w:numFmt w:val="bullet"/>
      <w:lvlText w:val="•"/>
      <w:lvlJc w:val="left"/>
      <w:pPr>
        <w:ind w:left="5803" w:hanging="360"/>
      </w:pPr>
      <w:rPr>
        <w:rFonts w:hint="default"/>
        <w:lang w:val="fr-FR" w:eastAsia="fr-FR" w:bidi="fr-FR"/>
      </w:rPr>
    </w:lvl>
    <w:lvl w:ilvl="8">
      <w:start w:val="0"/>
      <w:numFmt w:val="bullet"/>
      <w:lvlText w:val="•"/>
      <w:lvlJc w:val="left"/>
      <w:pPr>
        <w:ind w:left="6512" w:hanging="360"/>
      </w:pPr>
      <w:rPr>
        <w:rFonts w:hint="default"/>
        <w:lang w:val="fr-FR" w:eastAsia="fr-FR" w:bidi="fr-FR"/>
      </w:rPr>
    </w:lvl>
  </w:abstractNum>
  <w:abstractNum w:abstractNumId="2">
    <w:multiLevelType w:val="hybridMultilevel"/>
    <w:lvl w:ilvl="0">
      <w:start w:val="0"/>
      <w:numFmt w:val="bullet"/>
      <w:lvlText w:val="-"/>
      <w:lvlJc w:val="left"/>
      <w:pPr>
        <w:ind w:left="110" w:hanging="360"/>
      </w:pPr>
      <w:rPr>
        <w:rFonts w:hint="default" w:ascii="Times New Roman" w:hAnsi="Times New Roman" w:eastAsia="Times New Roman" w:cs="Times New Roman"/>
        <w:w w:val="100"/>
        <w:sz w:val="22"/>
        <w:szCs w:val="22"/>
        <w:lang w:val="fr-FR" w:eastAsia="fr-FR" w:bidi="fr-FR"/>
      </w:rPr>
    </w:lvl>
    <w:lvl w:ilvl="1">
      <w:start w:val="0"/>
      <w:numFmt w:val="bullet"/>
      <w:lvlText w:val="•"/>
      <w:lvlJc w:val="left"/>
      <w:pPr>
        <w:ind w:left="886" w:hanging="360"/>
      </w:pPr>
      <w:rPr>
        <w:rFonts w:hint="default"/>
        <w:lang w:val="fr-FR" w:eastAsia="fr-FR" w:bidi="fr-FR"/>
      </w:rPr>
    </w:lvl>
    <w:lvl w:ilvl="2">
      <w:start w:val="0"/>
      <w:numFmt w:val="bullet"/>
      <w:lvlText w:val="•"/>
      <w:lvlJc w:val="left"/>
      <w:pPr>
        <w:ind w:left="1653" w:hanging="360"/>
      </w:pPr>
      <w:rPr>
        <w:rFonts w:hint="default"/>
        <w:lang w:val="fr-FR" w:eastAsia="fr-FR" w:bidi="fr-FR"/>
      </w:rPr>
    </w:lvl>
    <w:lvl w:ilvl="3">
      <w:start w:val="0"/>
      <w:numFmt w:val="bullet"/>
      <w:lvlText w:val="•"/>
      <w:lvlJc w:val="left"/>
      <w:pPr>
        <w:ind w:left="2420" w:hanging="360"/>
      </w:pPr>
      <w:rPr>
        <w:rFonts w:hint="default"/>
        <w:lang w:val="fr-FR" w:eastAsia="fr-FR" w:bidi="fr-FR"/>
      </w:rPr>
    </w:lvl>
    <w:lvl w:ilvl="4">
      <w:start w:val="0"/>
      <w:numFmt w:val="bullet"/>
      <w:lvlText w:val="•"/>
      <w:lvlJc w:val="left"/>
      <w:pPr>
        <w:ind w:left="3187" w:hanging="360"/>
      </w:pPr>
      <w:rPr>
        <w:rFonts w:hint="default"/>
        <w:lang w:val="fr-FR" w:eastAsia="fr-FR" w:bidi="fr-FR"/>
      </w:rPr>
    </w:lvl>
    <w:lvl w:ilvl="5">
      <w:start w:val="0"/>
      <w:numFmt w:val="bullet"/>
      <w:lvlText w:val="•"/>
      <w:lvlJc w:val="left"/>
      <w:pPr>
        <w:ind w:left="3954" w:hanging="360"/>
      </w:pPr>
      <w:rPr>
        <w:rFonts w:hint="default"/>
        <w:lang w:val="fr-FR" w:eastAsia="fr-FR" w:bidi="fr-FR"/>
      </w:rPr>
    </w:lvl>
    <w:lvl w:ilvl="6">
      <w:start w:val="0"/>
      <w:numFmt w:val="bullet"/>
      <w:lvlText w:val="•"/>
      <w:lvlJc w:val="left"/>
      <w:pPr>
        <w:ind w:left="4721" w:hanging="360"/>
      </w:pPr>
      <w:rPr>
        <w:rFonts w:hint="default"/>
        <w:lang w:val="fr-FR" w:eastAsia="fr-FR" w:bidi="fr-FR"/>
      </w:rPr>
    </w:lvl>
    <w:lvl w:ilvl="7">
      <w:start w:val="0"/>
      <w:numFmt w:val="bullet"/>
      <w:lvlText w:val="•"/>
      <w:lvlJc w:val="left"/>
      <w:pPr>
        <w:ind w:left="5488" w:hanging="360"/>
      </w:pPr>
      <w:rPr>
        <w:rFonts w:hint="default"/>
        <w:lang w:val="fr-FR" w:eastAsia="fr-FR" w:bidi="fr-FR"/>
      </w:rPr>
    </w:lvl>
    <w:lvl w:ilvl="8">
      <w:start w:val="0"/>
      <w:numFmt w:val="bullet"/>
      <w:lvlText w:val="•"/>
      <w:lvlJc w:val="left"/>
      <w:pPr>
        <w:ind w:left="6255" w:hanging="360"/>
      </w:pPr>
      <w:rPr>
        <w:rFonts w:hint="default"/>
        <w:lang w:val="fr-FR" w:eastAsia="fr-FR" w:bidi="fr-FR"/>
      </w:rPr>
    </w:lvl>
  </w:abstractNum>
  <w:abstractNum w:abstractNumId="1">
    <w:multiLevelType w:val="hybridMultilevel"/>
    <w:lvl w:ilvl="0">
      <w:start w:val="0"/>
      <w:numFmt w:val="bullet"/>
      <w:lvlText w:val="-"/>
      <w:lvlJc w:val="left"/>
      <w:pPr>
        <w:ind w:left="966" w:hanging="363"/>
      </w:pPr>
      <w:rPr>
        <w:rFonts w:hint="default" w:ascii="Times New Roman" w:hAnsi="Times New Roman" w:eastAsia="Times New Roman" w:cs="Times New Roman"/>
        <w:w w:val="100"/>
        <w:sz w:val="22"/>
        <w:szCs w:val="22"/>
        <w:lang w:val="fr-FR" w:eastAsia="fr-FR" w:bidi="fr-FR"/>
      </w:rPr>
    </w:lvl>
    <w:lvl w:ilvl="1">
      <w:start w:val="0"/>
      <w:numFmt w:val="bullet"/>
      <w:lvlText w:val="•"/>
      <w:lvlJc w:val="left"/>
      <w:pPr>
        <w:ind w:left="1978" w:hanging="363"/>
      </w:pPr>
      <w:rPr>
        <w:rFonts w:hint="default"/>
        <w:lang w:val="fr-FR" w:eastAsia="fr-FR" w:bidi="fr-FR"/>
      </w:rPr>
    </w:lvl>
    <w:lvl w:ilvl="2">
      <w:start w:val="0"/>
      <w:numFmt w:val="bullet"/>
      <w:lvlText w:val="•"/>
      <w:lvlJc w:val="left"/>
      <w:pPr>
        <w:ind w:left="2997" w:hanging="363"/>
      </w:pPr>
      <w:rPr>
        <w:rFonts w:hint="default"/>
        <w:lang w:val="fr-FR" w:eastAsia="fr-FR" w:bidi="fr-FR"/>
      </w:rPr>
    </w:lvl>
    <w:lvl w:ilvl="3">
      <w:start w:val="0"/>
      <w:numFmt w:val="bullet"/>
      <w:lvlText w:val="•"/>
      <w:lvlJc w:val="left"/>
      <w:pPr>
        <w:ind w:left="4015" w:hanging="363"/>
      </w:pPr>
      <w:rPr>
        <w:rFonts w:hint="default"/>
        <w:lang w:val="fr-FR" w:eastAsia="fr-FR" w:bidi="fr-FR"/>
      </w:rPr>
    </w:lvl>
    <w:lvl w:ilvl="4">
      <w:start w:val="0"/>
      <w:numFmt w:val="bullet"/>
      <w:lvlText w:val="•"/>
      <w:lvlJc w:val="left"/>
      <w:pPr>
        <w:ind w:left="5034" w:hanging="363"/>
      </w:pPr>
      <w:rPr>
        <w:rFonts w:hint="default"/>
        <w:lang w:val="fr-FR" w:eastAsia="fr-FR" w:bidi="fr-FR"/>
      </w:rPr>
    </w:lvl>
    <w:lvl w:ilvl="5">
      <w:start w:val="0"/>
      <w:numFmt w:val="bullet"/>
      <w:lvlText w:val="•"/>
      <w:lvlJc w:val="left"/>
      <w:pPr>
        <w:ind w:left="6053" w:hanging="363"/>
      </w:pPr>
      <w:rPr>
        <w:rFonts w:hint="default"/>
        <w:lang w:val="fr-FR" w:eastAsia="fr-FR" w:bidi="fr-FR"/>
      </w:rPr>
    </w:lvl>
    <w:lvl w:ilvl="6">
      <w:start w:val="0"/>
      <w:numFmt w:val="bullet"/>
      <w:lvlText w:val="•"/>
      <w:lvlJc w:val="left"/>
      <w:pPr>
        <w:ind w:left="7071" w:hanging="363"/>
      </w:pPr>
      <w:rPr>
        <w:rFonts w:hint="default"/>
        <w:lang w:val="fr-FR" w:eastAsia="fr-FR" w:bidi="fr-FR"/>
      </w:rPr>
    </w:lvl>
    <w:lvl w:ilvl="7">
      <w:start w:val="0"/>
      <w:numFmt w:val="bullet"/>
      <w:lvlText w:val="•"/>
      <w:lvlJc w:val="left"/>
      <w:pPr>
        <w:ind w:left="8090" w:hanging="363"/>
      </w:pPr>
      <w:rPr>
        <w:rFonts w:hint="default"/>
        <w:lang w:val="fr-FR" w:eastAsia="fr-FR" w:bidi="fr-FR"/>
      </w:rPr>
    </w:lvl>
    <w:lvl w:ilvl="8">
      <w:start w:val="0"/>
      <w:numFmt w:val="bullet"/>
      <w:lvlText w:val="•"/>
      <w:lvlJc w:val="left"/>
      <w:pPr>
        <w:ind w:left="9109" w:hanging="363"/>
      </w:pPr>
      <w:rPr>
        <w:rFonts w:hint="default"/>
        <w:lang w:val="fr-FR" w:eastAsia="fr-FR" w:bidi="fr-FR"/>
      </w:rPr>
    </w:lvl>
  </w:abstractNum>
  <w:abstractNum w:abstractNumId="0">
    <w:multiLevelType w:val="hybridMultilevel"/>
    <w:lvl w:ilvl="0">
      <w:start w:val="0"/>
      <w:numFmt w:val="bullet"/>
      <w:lvlText w:val="-"/>
      <w:lvlJc w:val="left"/>
      <w:pPr>
        <w:ind w:left="966" w:hanging="363"/>
      </w:pPr>
      <w:rPr>
        <w:rFonts w:hint="default" w:ascii="Times New Roman" w:hAnsi="Times New Roman" w:eastAsia="Times New Roman" w:cs="Times New Roman"/>
        <w:w w:val="100"/>
        <w:sz w:val="22"/>
        <w:szCs w:val="22"/>
        <w:lang w:val="fr-FR" w:eastAsia="fr-FR" w:bidi="fr-FR"/>
      </w:rPr>
    </w:lvl>
    <w:lvl w:ilvl="1">
      <w:start w:val="0"/>
      <w:numFmt w:val="bullet"/>
      <w:lvlText w:val="o"/>
      <w:lvlJc w:val="left"/>
      <w:pPr>
        <w:ind w:left="1662" w:hanging="336"/>
      </w:pPr>
      <w:rPr>
        <w:rFonts w:hint="default" w:ascii="Courier New" w:hAnsi="Courier New" w:eastAsia="Courier New" w:cs="Courier New"/>
        <w:w w:val="100"/>
        <w:sz w:val="22"/>
        <w:szCs w:val="22"/>
        <w:lang w:val="fr-FR" w:eastAsia="fr-FR" w:bidi="fr-FR"/>
      </w:rPr>
    </w:lvl>
    <w:lvl w:ilvl="2">
      <w:start w:val="0"/>
      <w:numFmt w:val="bullet"/>
      <w:lvlText w:val="•"/>
      <w:lvlJc w:val="left"/>
      <w:pPr>
        <w:ind w:left="2714" w:hanging="336"/>
      </w:pPr>
      <w:rPr>
        <w:rFonts w:hint="default"/>
        <w:lang w:val="fr-FR" w:eastAsia="fr-FR" w:bidi="fr-FR"/>
      </w:rPr>
    </w:lvl>
    <w:lvl w:ilvl="3">
      <w:start w:val="0"/>
      <w:numFmt w:val="bullet"/>
      <w:lvlText w:val="•"/>
      <w:lvlJc w:val="left"/>
      <w:pPr>
        <w:ind w:left="3768" w:hanging="336"/>
      </w:pPr>
      <w:rPr>
        <w:rFonts w:hint="default"/>
        <w:lang w:val="fr-FR" w:eastAsia="fr-FR" w:bidi="fr-FR"/>
      </w:rPr>
    </w:lvl>
    <w:lvl w:ilvl="4">
      <w:start w:val="0"/>
      <w:numFmt w:val="bullet"/>
      <w:lvlText w:val="•"/>
      <w:lvlJc w:val="left"/>
      <w:pPr>
        <w:ind w:left="4822" w:hanging="336"/>
      </w:pPr>
      <w:rPr>
        <w:rFonts w:hint="default"/>
        <w:lang w:val="fr-FR" w:eastAsia="fr-FR" w:bidi="fr-FR"/>
      </w:rPr>
    </w:lvl>
    <w:lvl w:ilvl="5">
      <w:start w:val="0"/>
      <w:numFmt w:val="bullet"/>
      <w:lvlText w:val="•"/>
      <w:lvlJc w:val="left"/>
      <w:pPr>
        <w:ind w:left="5876" w:hanging="336"/>
      </w:pPr>
      <w:rPr>
        <w:rFonts w:hint="default"/>
        <w:lang w:val="fr-FR" w:eastAsia="fr-FR" w:bidi="fr-FR"/>
      </w:rPr>
    </w:lvl>
    <w:lvl w:ilvl="6">
      <w:start w:val="0"/>
      <w:numFmt w:val="bullet"/>
      <w:lvlText w:val="•"/>
      <w:lvlJc w:val="left"/>
      <w:pPr>
        <w:ind w:left="6930" w:hanging="336"/>
      </w:pPr>
      <w:rPr>
        <w:rFonts w:hint="default"/>
        <w:lang w:val="fr-FR" w:eastAsia="fr-FR" w:bidi="fr-FR"/>
      </w:rPr>
    </w:lvl>
    <w:lvl w:ilvl="7">
      <w:start w:val="0"/>
      <w:numFmt w:val="bullet"/>
      <w:lvlText w:val="•"/>
      <w:lvlJc w:val="left"/>
      <w:pPr>
        <w:ind w:left="7984" w:hanging="336"/>
      </w:pPr>
      <w:rPr>
        <w:rFonts w:hint="default"/>
        <w:lang w:val="fr-FR" w:eastAsia="fr-FR" w:bidi="fr-FR"/>
      </w:rPr>
    </w:lvl>
    <w:lvl w:ilvl="8">
      <w:start w:val="0"/>
      <w:numFmt w:val="bullet"/>
      <w:lvlText w:val="•"/>
      <w:lvlJc w:val="left"/>
      <w:pPr>
        <w:ind w:left="9038" w:hanging="336"/>
      </w:pPr>
      <w:rPr>
        <w:rFonts w:hint="default"/>
        <w:lang w:val="fr-FR" w:eastAsia="fr-FR" w:bidi="fr-FR"/>
      </w:rPr>
    </w:lvl>
  </w:abstract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fr-FR" w:eastAsia="fr-FR" w:bidi="fr-FR"/>
    </w:rPr>
  </w:style>
  <w:style w:styleId="BodyText" w:type="paragraph">
    <w:name w:val="Body Text"/>
    <w:basedOn w:val="Normal"/>
    <w:uiPriority w:val="1"/>
    <w:qFormat/>
    <w:pPr>
      <w:ind w:left="1662" w:hanging="336"/>
    </w:pPr>
    <w:rPr>
      <w:rFonts w:ascii="Arial" w:hAnsi="Arial" w:eastAsia="Arial" w:cs="Arial"/>
      <w:sz w:val="22"/>
      <w:szCs w:val="22"/>
      <w:lang w:val="fr-FR" w:eastAsia="fr-FR" w:bidi="fr-FR"/>
    </w:rPr>
  </w:style>
  <w:style w:styleId="Heading1" w:type="paragraph">
    <w:name w:val="Heading 1"/>
    <w:basedOn w:val="Normal"/>
    <w:uiPriority w:val="1"/>
    <w:qFormat/>
    <w:pPr>
      <w:ind w:left="246"/>
      <w:outlineLvl w:val="1"/>
    </w:pPr>
    <w:rPr>
      <w:rFonts w:ascii="Arial" w:hAnsi="Arial" w:eastAsia="Arial" w:cs="Arial"/>
      <w:b/>
      <w:bCs/>
      <w:sz w:val="28"/>
      <w:szCs w:val="28"/>
      <w:u w:val="single" w:color="000000"/>
      <w:lang w:val="fr-FR" w:eastAsia="fr-FR" w:bidi="fr-FR"/>
    </w:rPr>
  </w:style>
  <w:style w:styleId="ListParagraph" w:type="paragraph">
    <w:name w:val="List Paragraph"/>
    <w:basedOn w:val="Normal"/>
    <w:uiPriority w:val="1"/>
    <w:qFormat/>
    <w:pPr>
      <w:spacing w:line="253" w:lineRule="exact"/>
      <w:ind w:left="1662" w:hanging="336"/>
    </w:pPr>
    <w:rPr>
      <w:rFonts w:ascii="Arial" w:hAnsi="Arial" w:eastAsia="Arial" w:cs="Arial"/>
      <w:lang w:val="fr-FR" w:eastAsia="fr-FR" w:bidi="fr-FR"/>
    </w:rPr>
  </w:style>
  <w:style w:styleId="TableParagraph" w:type="paragraph">
    <w:name w:val="Table Paragraph"/>
    <w:basedOn w:val="Normal"/>
    <w:uiPriority w:val="1"/>
    <w:qFormat/>
    <w:pPr>
      <w:ind w:left="110"/>
    </w:pPr>
    <w:rPr>
      <w:rFonts w:ascii="Arial" w:hAnsi="Arial" w:eastAsia="Arial" w:cs="Arial"/>
      <w:lang w:val="fr-FR" w:eastAsia="fr-FR" w:bidi="fr-F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STSI</dc:creator>
  <dcterms:created xsi:type="dcterms:W3CDTF">2018-06-19T12:28:32Z</dcterms:created>
  <dcterms:modified xsi:type="dcterms:W3CDTF">2018-06-19T12:28:32Z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2015-05-13T00:00:00Z</vt:filetime>
  </property>
  <property fmtid="{D5CDD505-2E9C-101B-9397-08002B2CF9AE}" pid="3" name="Creator">
    <vt:lpwstr>Microsoft® Word 2010</vt:lpwstr>
  </property>
  <property fmtid="{D5CDD505-2E9C-101B-9397-08002B2CF9AE}" pid="4" name="LastSaved">
    <vt:filetime>2018-06-19T00:00:00Z</vt:filetime>
  </property>
</Properties>
</file>