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1"/>
        <w:ind w:left="2201" w:right="0" w:firstLine="0"/>
        <w:jc w:val="left"/>
        <w:rPr>
          <w:b/>
          <w:sz w:val="36"/>
        </w:rPr>
      </w:pPr>
      <w:r>
        <w:rPr>
          <w:b/>
          <w:sz w:val="36"/>
        </w:rPr>
        <w:t>UNITÉS CONSTITUTIVES DU DIPLÔME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9"/>
        <w:rPr>
          <w:b/>
          <w:sz w:val="29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6.879999pt;margin-top:18.35371pt;width:541.6pt;height:38.3pt;mso-position-horizontal-relative:page;mso-position-vertical-relative:paragraph;z-index:-1024;mso-wrap-distance-left:0;mso-wrap-distance-right:0" type="#_x0000_t202" filled="true" fillcolor="#538dd3" stroked="false">
            <v:textbox inset="0,0,0,0">
              <w:txbxContent>
                <w:p>
                  <w:pPr>
                    <w:pStyle w:val="BodyText"/>
                    <w:spacing w:line="319" w:lineRule="exact"/>
                    <w:ind w:left="1127" w:right="1128"/>
                    <w:jc w:val="center"/>
                  </w:pPr>
                  <w:r>
                    <w:rPr>
                      <w:color w:val="FFFFFF"/>
                    </w:rPr>
                    <w:t>Ventilation des compétences à évaluer sur les différentes</w:t>
                  </w:r>
                  <w:r>
                    <w:rPr>
                      <w:color w:val="FFFFFF"/>
                      <w:spacing w:val="-6"/>
                    </w:rPr>
                    <w:t> </w:t>
                  </w:r>
                  <w:r>
                    <w:rPr>
                      <w:color w:val="FFFFFF"/>
                    </w:rPr>
                    <w:t>unités</w:t>
                  </w:r>
                </w:p>
                <w:p>
                  <w:pPr>
                    <w:pStyle w:val="BodyText"/>
                    <w:spacing w:before="122"/>
                    <w:ind w:left="1127" w:right="1127"/>
                    <w:jc w:val="center"/>
                  </w:pPr>
                  <w:r>
                    <w:rPr>
                      <w:color w:val="FFFFFF"/>
                    </w:rPr>
                    <w:t>EP1 – EP2 – EP3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0" w:after="1"/>
        <w:rPr>
          <w:b/>
          <w:sz w:val="26"/>
        </w:rPr>
      </w:pPr>
    </w:p>
    <w:tbl>
      <w:tblPr>
        <w:tblW w:w="0" w:type="auto"/>
        <w:jc w:val="left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2"/>
        <w:gridCol w:w="5952"/>
        <w:gridCol w:w="680"/>
        <w:gridCol w:w="680"/>
        <w:gridCol w:w="682"/>
      </w:tblGrid>
      <w:tr>
        <w:trPr>
          <w:trHeight w:val="522" w:hRule="atLeast"/>
        </w:trPr>
        <w:tc>
          <w:tcPr>
            <w:tcW w:w="8084" w:type="dxa"/>
            <w:gridSpan w:val="2"/>
            <w:tcBorders>
              <w:right w:val="single" w:sz="8" w:space="0" w:color="000000"/>
            </w:tcBorders>
          </w:tcPr>
          <w:p>
            <w:pPr>
              <w:pStyle w:val="TableParagraph"/>
              <w:spacing w:before="115"/>
              <w:ind w:left="3093" w:right="30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COMPÉTENCES</w:t>
            </w:r>
          </w:p>
        </w:tc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5"/>
              <w:ind w:left="56" w:right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EP1</w:t>
            </w:r>
          </w:p>
        </w:tc>
        <w:tc>
          <w:tcPr>
            <w:tcW w:w="680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5"/>
              <w:ind w:left="16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EP2</w:t>
            </w:r>
          </w:p>
        </w:tc>
        <w:tc>
          <w:tcPr>
            <w:tcW w:w="682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115"/>
              <w:ind w:left="56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EP3</w:t>
            </w:r>
          </w:p>
        </w:tc>
      </w:tr>
      <w:tr>
        <w:trPr>
          <w:trHeight w:val="277" w:hRule="atLeast"/>
        </w:trPr>
        <w:tc>
          <w:tcPr>
            <w:tcW w:w="10126" w:type="dxa"/>
            <w:gridSpan w:val="5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66" w:hRule="atLeast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65"/>
              <w:ind w:left="81"/>
              <w:rPr>
                <w:sz w:val="22"/>
              </w:rPr>
            </w:pPr>
            <w:r>
              <w:rPr>
                <w:sz w:val="22"/>
              </w:rPr>
              <w:t>C1 – S’informer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76"/>
              <w:rPr>
                <w:sz w:val="22"/>
              </w:rPr>
            </w:pPr>
            <w:r>
              <w:rPr>
                <w:sz w:val="22"/>
              </w:rPr>
              <w:t>C11 Recueillir l’information à des fins professionnelles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51"/>
              <w:ind w:left="26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65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6"/>
              <w:ind w:left="76"/>
              <w:rPr>
                <w:sz w:val="22"/>
              </w:rPr>
            </w:pPr>
            <w:r>
              <w:rPr>
                <w:sz w:val="22"/>
              </w:rPr>
              <w:t>C12 Sélectionner, décoder l’information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53"/>
              <w:ind w:left="22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</w:tr>
      <w:tr>
        <w:trPr>
          <w:trHeight w:val="569" w:hRule="atLeast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81"/>
              <w:rPr>
                <w:sz w:val="22"/>
              </w:rPr>
            </w:pPr>
            <w:r>
              <w:rPr>
                <w:sz w:val="22"/>
              </w:rPr>
              <w:t>C2 – Organiser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7"/>
              <w:ind w:left="76"/>
              <w:rPr>
                <w:sz w:val="22"/>
              </w:rPr>
            </w:pPr>
            <w:r>
              <w:rPr>
                <w:sz w:val="22"/>
              </w:rPr>
              <w:t>C21 Préparer son intervention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spacing w:before="154"/>
              <w:ind w:left="31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95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55"/>
              <w:ind w:left="76" w:right="85"/>
              <w:rPr>
                <w:sz w:val="22"/>
              </w:rPr>
            </w:pPr>
            <w:r>
              <w:rPr>
                <w:sz w:val="22"/>
              </w:rPr>
              <w:t>C22 Adapter son organisation aux risques potentiels et aux aléas rencontrés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6"/>
              <w:ind w:left="31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66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/>
              <w:ind w:left="76"/>
              <w:rPr>
                <w:sz w:val="22"/>
              </w:rPr>
            </w:pPr>
            <w:r>
              <w:rPr>
                <w:sz w:val="22"/>
              </w:rPr>
              <w:t>C23 Gérer son poste de travail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TableParagraph"/>
              <w:spacing w:before="151"/>
              <w:ind w:left="22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</w:tr>
      <w:tr>
        <w:trPr>
          <w:trHeight w:val="566" w:hRule="atLeast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11"/>
              <w:ind w:left="81"/>
              <w:rPr>
                <w:sz w:val="22"/>
              </w:rPr>
            </w:pPr>
            <w:r>
              <w:rPr>
                <w:sz w:val="22"/>
              </w:rPr>
              <w:t>C3 – Réaliser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6"/>
              <w:ind w:left="76"/>
              <w:rPr>
                <w:sz w:val="22"/>
              </w:rPr>
            </w:pPr>
            <w:r>
              <w:rPr>
                <w:sz w:val="22"/>
              </w:rPr>
              <w:t>C31 Mettre en œuvre des opérations de nettoiement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53"/>
              <w:ind w:left="26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50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33"/>
              <w:ind w:left="76" w:right="722"/>
              <w:rPr>
                <w:sz w:val="22"/>
              </w:rPr>
            </w:pPr>
            <w:r>
              <w:rPr>
                <w:sz w:val="22"/>
              </w:rPr>
              <w:t>C32 Mettre en œuvre des opérations de collecte des déchets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4"/>
              <w:ind w:left="24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00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57"/>
              <w:ind w:left="76" w:right="489"/>
              <w:rPr>
                <w:sz w:val="22"/>
              </w:rPr>
            </w:pPr>
            <w:r>
              <w:rPr>
                <w:sz w:val="22"/>
              </w:rPr>
              <w:t>C33 Mettre en œuvre des opérations de traitement des déchets : tri, démantèlement, recyclage, valorisation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19"/>
              </w:rPr>
            </w:pPr>
          </w:p>
          <w:p>
            <w:pPr>
              <w:pStyle w:val="TableParagraph"/>
              <w:ind w:left="22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</w:tr>
      <w:tr>
        <w:trPr>
          <w:trHeight w:val="683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8" w:lineRule="auto" w:before="48"/>
              <w:ind w:left="76" w:right="611"/>
              <w:rPr>
                <w:sz w:val="22"/>
              </w:rPr>
            </w:pPr>
            <w:r>
              <w:rPr>
                <w:sz w:val="22"/>
              </w:rPr>
              <w:t>C34 Effectuer la maintenance préventive et l’entretien courant des matériels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1"/>
              <w:ind w:left="24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05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60"/>
              <w:ind w:left="76" w:right="832"/>
              <w:rPr>
                <w:sz w:val="22"/>
              </w:rPr>
            </w:pPr>
            <w:r>
              <w:rPr>
                <w:sz w:val="22"/>
              </w:rPr>
              <w:t>C35 Mettre en œuvre les mesures adaptées en cas d’incident ou d’accident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19"/>
              </w:rPr>
            </w:pPr>
          </w:p>
          <w:p>
            <w:pPr>
              <w:pStyle w:val="TableParagraph"/>
              <w:ind w:left="26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02" w:hRule="atLeast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77"/>
              <w:ind w:left="81"/>
              <w:rPr>
                <w:sz w:val="22"/>
              </w:rPr>
            </w:pPr>
            <w:r>
              <w:rPr>
                <w:sz w:val="22"/>
              </w:rPr>
              <w:t>C4 – Contrôler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57"/>
              <w:ind w:left="76" w:right="391"/>
              <w:rPr>
                <w:sz w:val="22"/>
              </w:rPr>
            </w:pPr>
            <w:r>
              <w:rPr>
                <w:sz w:val="22"/>
              </w:rPr>
              <w:t>C41 Mettre en œuvre des opérations de traçabilité et de contrôle qualité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/>
              <w:rPr>
                <w:b/>
                <w:sz w:val="19"/>
              </w:rPr>
            </w:pPr>
          </w:p>
          <w:p>
            <w:pPr>
              <w:pStyle w:val="TableParagraph"/>
              <w:ind w:left="26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65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6"/>
              <w:ind w:left="76"/>
              <w:rPr>
                <w:sz w:val="22"/>
              </w:rPr>
            </w:pPr>
            <w:r>
              <w:rPr>
                <w:sz w:val="22"/>
              </w:rPr>
              <w:t>C42 Respecter les procédures de sécurité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53"/>
              <w:ind w:left="22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</w:tr>
      <w:tr>
        <w:trPr>
          <w:trHeight w:val="681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48"/>
              <w:ind w:left="76" w:right="1162"/>
              <w:rPr>
                <w:sz w:val="22"/>
              </w:rPr>
            </w:pPr>
            <w:r>
              <w:rPr>
                <w:sz w:val="22"/>
              </w:rPr>
              <w:t>C43 Apprécier les incidences de son activité sur l’environnement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08"/>
              <w:ind w:left="24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66" w:hRule="atLeast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b/>
                <w:sz w:val="27"/>
              </w:rPr>
            </w:pPr>
          </w:p>
          <w:p>
            <w:pPr>
              <w:pStyle w:val="TableParagraph"/>
              <w:ind w:left="81"/>
              <w:rPr>
                <w:sz w:val="22"/>
              </w:rPr>
            </w:pPr>
            <w:r>
              <w:rPr>
                <w:sz w:val="22"/>
              </w:rPr>
              <w:t>C5 – Communiquer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5"/>
              <w:ind w:left="76"/>
              <w:rPr>
                <w:sz w:val="22"/>
              </w:rPr>
            </w:pPr>
            <w:r>
              <w:rPr>
                <w:sz w:val="22"/>
              </w:rPr>
              <w:t>C51 Établir une communication professionnelle en interne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51"/>
              <w:ind w:left="22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</w:tr>
      <w:tr>
        <w:trPr>
          <w:trHeight w:val="837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6" w:lineRule="auto" w:before="127"/>
              <w:ind w:left="76" w:right="379"/>
              <w:rPr>
                <w:sz w:val="22"/>
              </w:rPr>
            </w:pPr>
            <w:r>
              <w:rPr>
                <w:sz w:val="22"/>
              </w:rPr>
              <w:t>C52 Établir une communication professionnelle avec les usagers et les clients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5"/>
              </w:rPr>
            </w:pPr>
          </w:p>
          <w:p>
            <w:pPr>
              <w:pStyle w:val="TableParagraph"/>
              <w:ind w:left="26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68" w:hRule="atLeast"/>
        </w:trPr>
        <w:tc>
          <w:tcPr>
            <w:tcW w:w="2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6"/>
              <w:ind w:left="76"/>
              <w:rPr>
                <w:sz w:val="22"/>
              </w:rPr>
            </w:pPr>
            <w:r>
              <w:rPr>
                <w:sz w:val="22"/>
              </w:rPr>
              <w:t>C53 Utiliser les outils et méthodes de communication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53"/>
              <w:ind w:left="24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X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sectPr>
      <w:type w:val="continuous"/>
      <w:pgSz w:w="11910" w:h="16840"/>
      <w:pgMar w:top="600" w:bottom="280" w:left="42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fr-FR" w:bidi="fr-FR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8"/>
      <w:szCs w:val="28"/>
      <w:lang w:val="fr-FR" w:eastAsia="fr-FR" w:bidi="fr-FR"/>
    </w:rPr>
  </w:style>
  <w:style w:styleId="ListParagraph" w:type="paragraph">
    <w:name w:val="List Paragraph"/>
    <w:basedOn w:val="Normal"/>
    <w:uiPriority w:val="1"/>
    <w:qFormat/>
    <w:pPr/>
    <w:rPr>
      <w:lang w:val="fr-FR" w:eastAsia="fr-FR" w:bidi="fr-FR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fr-FR" w:eastAsia="fr-FR" w:bidi="fr-FR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STSI</dc:creator>
  <dc:title>ANNEXE III– MODALITES DE CERTIFICATION</dc:title>
  <dcterms:created xsi:type="dcterms:W3CDTF">2018-06-19T12:30:04Z</dcterms:created>
  <dcterms:modified xsi:type="dcterms:W3CDTF">2018-06-19T12:30:04Z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2018-06-19T00:00:00Z</vt:filetime>
  </property>
</Properties>
</file>