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795"/>
        <w:tblW w:w="11023" w:type="dxa"/>
        <w:tblLook w:val="04A0" w:firstRow="1" w:lastRow="0" w:firstColumn="1" w:lastColumn="0" w:noHBand="0" w:noVBand="1"/>
      </w:tblPr>
      <w:tblGrid>
        <w:gridCol w:w="1831"/>
        <w:gridCol w:w="4373"/>
        <w:gridCol w:w="4819"/>
      </w:tblGrid>
      <w:tr w:rsidR="002D1BEA" w:rsidRPr="00CC483A" w:rsidTr="002D1BEA">
        <w:tc>
          <w:tcPr>
            <w:tcW w:w="1831" w:type="dxa"/>
          </w:tcPr>
          <w:p w:rsidR="002D1BEA" w:rsidRPr="00CC483A" w:rsidRDefault="002D1BEA" w:rsidP="002D1BEA">
            <w:pPr>
              <w:rPr>
                <w:rFonts w:cstheme="minorHAnsi"/>
              </w:rPr>
            </w:pPr>
          </w:p>
        </w:tc>
        <w:tc>
          <w:tcPr>
            <w:tcW w:w="4373" w:type="dxa"/>
          </w:tcPr>
          <w:p w:rsidR="002D1BEA" w:rsidRPr="00CC483A" w:rsidRDefault="002D1BEA" w:rsidP="002D1BEA">
            <w:pPr>
              <w:jc w:val="center"/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</w:rPr>
              <w:t>Matin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  <w:b/>
                <w:i/>
              </w:rPr>
            </w:pPr>
            <w:r w:rsidRPr="00CC483A">
              <w:rPr>
                <w:rFonts w:cstheme="minorHAnsi"/>
                <w:b/>
              </w:rPr>
              <w:t>Tapisserie de</w:t>
            </w:r>
            <w:r w:rsidRPr="00CC483A">
              <w:rPr>
                <w:rFonts w:cstheme="minorHAnsi"/>
                <w:b/>
                <w:i/>
              </w:rPr>
              <w:t xml:space="preserve"> L’Apocalypse 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</w:rPr>
              <w:t>Château d’Angers</w:t>
            </w:r>
          </w:p>
        </w:tc>
        <w:tc>
          <w:tcPr>
            <w:tcW w:w="4819" w:type="dxa"/>
          </w:tcPr>
          <w:p w:rsidR="002D1BEA" w:rsidRPr="00CC483A" w:rsidRDefault="002D1BEA" w:rsidP="002D1BEA">
            <w:pPr>
              <w:jc w:val="center"/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</w:rPr>
              <w:t>Après-midi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  <w:i/>
              </w:rPr>
              <w:t xml:space="preserve">Liberté </w:t>
            </w:r>
            <w:r w:rsidRPr="00CC483A">
              <w:rPr>
                <w:rFonts w:cstheme="minorHAnsi"/>
                <w:b/>
              </w:rPr>
              <w:t xml:space="preserve">et </w:t>
            </w:r>
            <w:r w:rsidRPr="00CC483A">
              <w:rPr>
                <w:rFonts w:cstheme="minorHAnsi"/>
                <w:b/>
                <w:i/>
              </w:rPr>
              <w:t>Le Chant du monde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  <w:b/>
              </w:rPr>
              <w:t>Musée Jean-Lurçat et de la tapisserie contemporaine</w:t>
            </w:r>
          </w:p>
        </w:tc>
      </w:tr>
      <w:tr w:rsidR="002D1BEA" w:rsidRPr="00CC483A" w:rsidTr="002D1BEA">
        <w:trPr>
          <w:trHeight w:val="428"/>
        </w:trPr>
        <w:tc>
          <w:tcPr>
            <w:tcW w:w="1831" w:type="dxa"/>
          </w:tcPr>
          <w:p w:rsidR="002D1BEA" w:rsidRPr="00CC483A" w:rsidRDefault="002D1BEA" w:rsidP="002D1BEA">
            <w:pPr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</w:rPr>
              <w:t>Les lieux d’exposition des œuvres</w:t>
            </w:r>
          </w:p>
        </w:tc>
        <w:tc>
          <w:tcPr>
            <w:tcW w:w="4373" w:type="dxa"/>
          </w:tcPr>
          <w:p w:rsidR="002D1BEA" w:rsidRPr="00CC483A" w:rsidRDefault="002D1BEA" w:rsidP="002D1BEA">
            <w:pPr>
              <w:ind w:firstLine="708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Une galerie contemporaine pour une œuvre ancienne</w:t>
            </w:r>
          </w:p>
        </w:tc>
        <w:tc>
          <w:tcPr>
            <w:tcW w:w="4819" w:type="dxa"/>
          </w:tcPr>
          <w:p w:rsidR="002D1BEA" w:rsidRPr="00CC483A" w:rsidRDefault="002D1BEA" w:rsidP="002D1BEA">
            <w:pPr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Un lieu patrimonial (hôpital Saint-Jean) pour une œuvre contemporaine</w:t>
            </w:r>
          </w:p>
        </w:tc>
      </w:tr>
      <w:tr w:rsidR="002D1BEA" w:rsidRPr="00CC483A" w:rsidTr="002D1BEA">
        <w:trPr>
          <w:trHeight w:val="251"/>
        </w:trPr>
        <w:tc>
          <w:tcPr>
            <w:tcW w:w="1831" w:type="dxa"/>
            <w:vMerge w:val="restart"/>
          </w:tcPr>
          <w:p w:rsidR="002D1BEA" w:rsidRPr="00CC483A" w:rsidRDefault="002D1BEA" w:rsidP="002D1BEA">
            <w:pPr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</w:rPr>
              <w:t>Dates, technique et dimensions des œuvres</w:t>
            </w:r>
          </w:p>
        </w:tc>
        <w:tc>
          <w:tcPr>
            <w:tcW w:w="4373" w:type="dxa"/>
          </w:tcPr>
          <w:p w:rsidR="002D1BEA" w:rsidRPr="00CC483A" w:rsidRDefault="002D1BEA" w:rsidP="002D1BEA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1375-1382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</w:tcPr>
          <w:p w:rsidR="002D1BEA" w:rsidRPr="00CC483A" w:rsidRDefault="002D1BEA" w:rsidP="002D1BEA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1957-1966</w:t>
            </w:r>
          </w:p>
        </w:tc>
      </w:tr>
      <w:tr w:rsidR="002D1BEA" w:rsidRPr="00CC483A" w:rsidTr="002D1BEA">
        <w:trPr>
          <w:trHeight w:val="289"/>
        </w:trPr>
        <w:tc>
          <w:tcPr>
            <w:tcW w:w="1831" w:type="dxa"/>
            <w:vMerge/>
          </w:tcPr>
          <w:p w:rsidR="002D1BEA" w:rsidRPr="00CC483A" w:rsidRDefault="002D1BEA" w:rsidP="002D1BEA">
            <w:pPr>
              <w:rPr>
                <w:rFonts w:cstheme="minorHAnsi"/>
              </w:rPr>
            </w:pPr>
          </w:p>
        </w:tc>
        <w:tc>
          <w:tcPr>
            <w:tcW w:w="9192" w:type="dxa"/>
            <w:gridSpan w:val="2"/>
          </w:tcPr>
          <w:p w:rsidR="002D1BEA" w:rsidRPr="00CC483A" w:rsidRDefault="002D1BEA" w:rsidP="002D1BEA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Art textile (similitudes et différences à mettre en évidence)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</w:p>
        </w:tc>
      </w:tr>
      <w:tr w:rsidR="002D1BEA" w:rsidRPr="00CC483A" w:rsidTr="002D1BEA">
        <w:trPr>
          <w:trHeight w:val="265"/>
        </w:trPr>
        <w:tc>
          <w:tcPr>
            <w:tcW w:w="1831" w:type="dxa"/>
            <w:vMerge/>
          </w:tcPr>
          <w:p w:rsidR="002D1BEA" w:rsidRPr="00CC483A" w:rsidRDefault="002D1BEA" w:rsidP="002D1BEA">
            <w:pPr>
              <w:rPr>
                <w:rFonts w:cstheme="minorHAnsi"/>
              </w:rPr>
            </w:pPr>
          </w:p>
        </w:tc>
        <w:tc>
          <w:tcPr>
            <w:tcW w:w="4373" w:type="dxa"/>
          </w:tcPr>
          <w:p w:rsidR="002D1BEA" w:rsidRPr="00CC483A" w:rsidRDefault="002D1BEA" w:rsidP="002D1BEA">
            <w:pPr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Possibilité de « toucher la tapisserie » avant l’entrée de la galerie</w:t>
            </w:r>
          </w:p>
        </w:tc>
        <w:tc>
          <w:tcPr>
            <w:tcW w:w="4819" w:type="dxa"/>
          </w:tcPr>
          <w:p w:rsidR="002D1BEA" w:rsidRPr="00CC483A" w:rsidRDefault="002D1BEA" w:rsidP="002D1BEA">
            <w:pPr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Métier à tisser et carton visibles au musée Jean-Lurçat</w:t>
            </w:r>
          </w:p>
        </w:tc>
      </w:tr>
      <w:tr w:rsidR="002D1BEA" w:rsidRPr="00CC483A" w:rsidTr="002D1BEA">
        <w:trPr>
          <w:trHeight w:val="270"/>
        </w:trPr>
        <w:tc>
          <w:tcPr>
            <w:tcW w:w="1831" w:type="dxa"/>
            <w:vMerge/>
          </w:tcPr>
          <w:p w:rsidR="002D1BEA" w:rsidRPr="00CC483A" w:rsidRDefault="002D1BEA" w:rsidP="002D1BEA">
            <w:pPr>
              <w:rPr>
                <w:rFonts w:cstheme="minorHAnsi"/>
              </w:rPr>
            </w:pPr>
          </w:p>
        </w:tc>
        <w:tc>
          <w:tcPr>
            <w:tcW w:w="9192" w:type="dxa"/>
            <w:gridSpan w:val="2"/>
          </w:tcPr>
          <w:p w:rsidR="002D1BEA" w:rsidRPr="00CC483A" w:rsidRDefault="002D1BEA" w:rsidP="002D1BEA">
            <w:pPr>
              <w:ind w:left="-1787"/>
              <w:jc w:val="center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ind w:left="-1787"/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Monumentalité</w:t>
            </w:r>
          </w:p>
        </w:tc>
      </w:tr>
      <w:tr w:rsidR="002D1BEA" w:rsidRPr="00CC483A" w:rsidTr="002D1BEA">
        <w:trPr>
          <w:trHeight w:val="135"/>
        </w:trPr>
        <w:tc>
          <w:tcPr>
            <w:tcW w:w="1831" w:type="dxa"/>
            <w:vMerge/>
          </w:tcPr>
          <w:p w:rsidR="002D1BEA" w:rsidRPr="00CC483A" w:rsidRDefault="002D1BEA" w:rsidP="002D1BEA">
            <w:pPr>
              <w:rPr>
                <w:rFonts w:cstheme="minorHAnsi"/>
              </w:rPr>
            </w:pPr>
          </w:p>
        </w:tc>
        <w:tc>
          <w:tcPr>
            <w:tcW w:w="4373" w:type="dxa"/>
          </w:tcPr>
          <w:p w:rsidR="002D1BEA" w:rsidRPr="00CC483A" w:rsidRDefault="002D1BEA" w:rsidP="002D1BEA">
            <w:pPr>
              <w:tabs>
                <w:tab w:val="left" w:pos="2595"/>
                <w:tab w:val="center" w:pos="4630"/>
              </w:tabs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tabs>
                <w:tab w:val="left" w:pos="2595"/>
                <w:tab w:val="center" w:pos="4630"/>
              </w:tabs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107 m. x 5 m. (incomplète)</w:t>
            </w:r>
          </w:p>
        </w:tc>
        <w:tc>
          <w:tcPr>
            <w:tcW w:w="4819" w:type="dxa"/>
          </w:tcPr>
          <w:p w:rsidR="002D1BEA" w:rsidRPr="00CC483A" w:rsidRDefault="002D1BEA" w:rsidP="002D1BEA">
            <w:pPr>
              <w:tabs>
                <w:tab w:val="left" w:pos="2595"/>
                <w:tab w:val="center" w:pos="4630"/>
              </w:tabs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tabs>
                <w:tab w:val="left" w:pos="2595"/>
                <w:tab w:val="center" w:pos="4630"/>
              </w:tabs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80 m. x 4 m. (inachevée)</w:t>
            </w:r>
          </w:p>
        </w:tc>
      </w:tr>
      <w:tr w:rsidR="002D1BEA" w:rsidRPr="00CC483A" w:rsidTr="002D1BEA">
        <w:trPr>
          <w:trHeight w:val="120"/>
        </w:trPr>
        <w:tc>
          <w:tcPr>
            <w:tcW w:w="1831" w:type="dxa"/>
          </w:tcPr>
          <w:p w:rsidR="002D1BEA" w:rsidRPr="00CC483A" w:rsidRDefault="002D1BEA" w:rsidP="002D1BEA">
            <w:pPr>
              <w:rPr>
                <w:rFonts w:cstheme="minorHAnsi"/>
              </w:rPr>
            </w:pPr>
            <w:r w:rsidRPr="00CC483A">
              <w:rPr>
                <w:rFonts w:cstheme="minorHAnsi"/>
                <w:b/>
              </w:rPr>
              <w:t>Contextualisation des œuvres</w:t>
            </w:r>
            <w:r w:rsidRPr="00CC483A">
              <w:rPr>
                <w:rFonts w:cstheme="minorHAnsi"/>
              </w:rPr>
              <w:t xml:space="preserve"> </w:t>
            </w:r>
            <w:r w:rsidRPr="00CC483A">
              <w:rPr>
                <w:rFonts w:cstheme="minorHAnsi"/>
                <w:i/>
              </w:rPr>
              <w:t>Compléter une frise chronologique au fur et à mesure de la journée</w:t>
            </w:r>
          </w:p>
        </w:tc>
        <w:tc>
          <w:tcPr>
            <w:tcW w:w="4373" w:type="dxa"/>
          </w:tcPr>
          <w:p w:rsidR="002D1BEA" w:rsidRPr="00CC483A" w:rsidRDefault="002D1BEA" w:rsidP="002D1BEA">
            <w:pPr>
              <w:rPr>
                <w:rFonts w:cstheme="minorHAnsi"/>
              </w:rPr>
            </w:pPr>
          </w:p>
          <w:p w:rsidR="002D1BEA" w:rsidRPr="00CC483A" w:rsidRDefault="002D1BEA" w:rsidP="002D1BEA">
            <w:pPr>
              <w:tabs>
                <w:tab w:val="left" w:pos="2595"/>
                <w:tab w:val="center" w:pos="4630"/>
              </w:tabs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Une œuvre de prestige commandée par un prince : Louis 1</w:t>
            </w:r>
            <w:r w:rsidRPr="00CC483A">
              <w:rPr>
                <w:rFonts w:cstheme="minorHAnsi"/>
                <w:vertAlign w:val="superscript"/>
              </w:rPr>
              <w:t>er</w:t>
            </w:r>
            <w:r w:rsidRPr="00CC483A">
              <w:rPr>
                <w:rFonts w:cstheme="minorHAnsi"/>
              </w:rPr>
              <w:t xml:space="preserve"> d’Anjou</w:t>
            </w:r>
          </w:p>
        </w:tc>
        <w:tc>
          <w:tcPr>
            <w:tcW w:w="4819" w:type="dxa"/>
          </w:tcPr>
          <w:p w:rsidR="002D1BEA" w:rsidRPr="00CC483A" w:rsidRDefault="002D1BEA" w:rsidP="002D1BEA">
            <w:pPr>
              <w:rPr>
                <w:rFonts w:cstheme="minorHAnsi"/>
              </w:rPr>
            </w:pPr>
          </w:p>
          <w:p w:rsidR="002D1BEA" w:rsidRPr="00CC483A" w:rsidRDefault="002D1BEA" w:rsidP="002D1BEA">
            <w:pPr>
              <w:tabs>
                <w:tab w:val="left" w:pos="2595"/>
                <w:tab w:val="center" w:pos="4630"/>
              </w:tabs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L’œuvre personnelle et autofinancée d’un artiste libre et engagé</w:t>
            </w:r>
          </w:p>
        </w:tc>
      </w:tr>
      <w:tr w:rsidR="002D1BEA" w:rsidRPr="00CC483A" w:rsidTr="002D1BEA">
        <w:trPr>
          <w:trHeight w:val="135"/>
        </w:trPr>
        <w:tc>
          <w:tcPr>
            <w:tcW w:w="1831" w:type="dxa"/>
          </w:tcPr>
          <w:p w:rsidR="002D1BEA" w:rsidRPr="00CC483A" w:rsidRDefault="002D1BEA" w:rsidP="002D1BEA">
            <w:pPr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</w:rPr>
              <w:t xml:space="preserve">La composition des œuvres </w:t>
            </w:r>
          </w:p>
        </w:tc>
        <w:tc>
          <w:tcPr>
            <w:tcW w:w="4373" w:type="dxa"/>
          </w:tcPr>
          <w:p w:rsidR="002D1BEA" w:rsidRPr="00CC483A" w:rsidRDefault="002D1BEA" w:rsidP="002D1BEA">
            <w:pPr>
              <w:tabs>
                <w:tab w:val="left" w:pos="1605"/>
              </w:tabs>
              <w:rPr>
                <w:rFonts w:cstheme="minorHAnsi"/>
                <w:sz w:val="8"/>
                <w:szCs w:val="8"/>
              </w:rPr>
            </w:pPr>
            <w:r w:rsidRPr="00CC483A">
              <w:rPr>
                <w:rFonts w:cstheme="minorHAnsi"/>
              </w:rPr>
              <w:tab/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L’organisation des 6 pièces</w:t>
            </w:r>
          </w:p>
        </w:tc>
        <w:tc>
          <w:tcPr>
            <w:tcW w:w="4819" w:type="dxa"/>
          </w:tcPr>
          <w:p w:rsidR="002D1BEA" w:rsidRPr="00CC483A" w:rsidRDefault="002D1BEA" w:rsidP="002D1BEA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 xml:space="preserve">Éléments communs et différences avec la tapisserie de </w:t>
            </w:r>
            <w:r w:rsidRPr="00CC483A">
              <w:rPr>
                <w:rFonts w:cstheme="minorHAnsi"/>
                <w:i/>
              </w:rPr>
              <w:t>L’Apocalypse</w:t>
            </w:r>
          </w:p>
        </w:tc>
      </w:tr>
      <w:tr w:rsidR="002D1BEA" w:rsidRPr="00CC483A" w:rsidTr="002D1BEA">
        <w:trPr>
          <w:trHeight w:val="119"/>
        </w:trPr>
        <w:tc>
          <w:tcPr>
            <w:tcW w:w="1831" w:type="dxa"/>
          </w:tcPr>
          <w:p w:rsidR="002D1BEA" w:rsidRPr="00CC483A" w:rsidRDefault="002D1BEA" w:rsidP="002D1BEA">
            <w:pPr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</w:rPr>
              <w:t xml:space="preserve">Le sens des œuvres </w:t>
            </w:r>
          </w:p>
        </w:tc>
        <w:tc>
          <w:tcPr>
            <w:tcW w:w="4373" w:type="dxa"/>
          </w:tcPr>
          <w:p w:rsidR="002D1BEA" w:rsidRPr="00CC483A" w:rsidRDefault="002D1BEA" w:rsidP="002D1BEA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La tenture de l’</w:t>
            </w:r>
            <w:r w:rsidRPr="00CC483A">
              <w:rPr>
                <w:rFonts w:cstheme="minorHAnsi"/>
                <w:i/>
              </w:rPr>
              <w:t>Apocalypse</w:t>
            </w:r>
            <w:r w:rsidRPr="00CC483A">
              <w:rPr>
                <w:rFonts w:cstheme="minorHAnsi"/>
              </w:rPr>
              <w:t xml:space="preserve"> illustre le message de l’Apocalypse du Nouveau Testament tout en s’inscrivant dans le contexte de la guerre de Cent ans.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Décrire deux ou trois scènes pour montrer le sens général de l’œuvre : un horizon d’attente pour les Chrétiens.</w:t>
            </w:r>
          </w:p>
        </w:tc>
        <w:tc>
          <w:tcPr>
            <w:tcW w:w="4819" w:type="dxa"/>
          </w:tcPr>
          <w:p w:rsidR="002D1BEA" w:rsidRPr="00CC483A" w:rsidRDefault="002D1BEA" w:rsidP="002D1BEA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Une « </w:t>
            </w:r>
            <w:r w:rsidRPr="00CC483A">
              <w:rPr>
                <w:rFonts w:cstheme="minorHAnsi"/>
                <w:i/>
              </w:rPr>
              <w:t>Apocalypse du 20</w:t>
            </w:r>
            <w:r w:rsidRPr="00CC483A">
              <w:rPr>
                <w:rFonts w:cstheme="minorHAnsi"/>
                <w:i/>
                <w:vertAlign w:val="superscript"/>
              </w:rPr>
              <w:t>e</w:t>
            </w:r>
            <w:r w:rsidRPr="00CC483A">
              <w:rPr>
                <w:rFonts w:cstheme="minorHAnsi"/>
                <w:i/>
              </w:rPr>
              <w:t xml:space="preserve"> siècle</w:t>
            </w:r>
            <w:r w:rsidRPr="00CC483A">
              <w:rPr>
                <w:rFonts w:cstheme="minorHAnsi"/>
              </w:rPr>
              <w:t xml:space="preserve"> » : 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Deuxième guerre mondiale, guerre d’anéantissement, et Guerre Froide, menace atomique,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mais  aussi un chant d’espoir.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Message centré sur l’homme face aux évènements et au monde : un témoignage humaniste.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Une œuvre poétique.</w:t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</w:p>
        </w:tc>
      </w:tr>
      <w:tr w:rsidR="002D1BEA" w:rsidRPr="00CC483A" w:rsidTr="002D1BEA">
        <w:trPr>
          <w:trHeight w:val="119"/>
        </w:trPr>
        <w:tc>
          <w:tcPr>
            <w:tcW w:w="1831" w:type="dxa"/>
          </w:tcPr>
          <w:p w:rsidR="002D1BEA" w:rsidRPr="00CC483A" w:rsidRDefault="002D1BEA" w:rsidP="002D1BEA">
            <w:pPr>
              <w:rPr>
                <w:rFonts w:cstheme="minorHAnsi"/>
                <w:b/>
              </w:rPr>
            </w:pPr>
            <w:r w:rsidRPr="00CC483A">
              <w:rPr>
                <w:rFonts w:cstheme="minorHAnsi"/>
                <w:b/>
              </w:rPr>
              <w:t>Réponse à la problématique</w:t>
            </w:r>
          </w:p>
        </w:tc>
        <w:tc>
          <w:tcPr>
            <w:tcW w:w="9192" w:type="dxa"/>
            <w:gridSpan w:val="2"/>
          </w:tcPr>
          <w:p w:rsidR="002D1BEA" w:rsidRPr="00CC483A" w:rsidRDefault="002D1BEA" w:rsidP="002D1BEA">
            <w:pPr>
              <w:tabs>
                <w:tab w:val="left" w:pos="2925"/>
              </w:tabs>
              <w:rPr>
                <w:rFonts w:cstheme="minorHAnsi"/>
                <w:sz w:val="8"/>
                <w:szCs w:val="8"/>
              </w:rPr>
            </w:pPr>
            <w:r w:rsidRPr="00CC483A">
              <w:rPr>
                <w:rFonts w:cstheme="minorHAnsi"/>
              </w:rPr>
              <w:tab/>
            </w:r>
          </w:p>
          <w:p w:rsidR="002D1BEA" w:rsidRPr="00CC483A" w:rsidRDefault="002D1BEA" w:rsidP="002D1BEA">
            <w:pPr>
              <w:jc w:val="center"/>
              <w:rPr>
                <w:rFonts w:cstheme="minorHAnsi"/>
              </w:rPr>
            </w:pPr>
            <w:r w:rsidRPr="00CC483A">
              <w:rPr>
                <w:rFonts w:cstheme="minorHAnsi"/>
              </w:rPr>
              <w:t>Jean Lurçat fait œuvre de mémoire et montre son engagement.</w:t>
            </w:r>
          </w:p>
        </w:tc>
      </w:tr>
    </w:tbl>
    <w:p w:rsidR="00242546" w:rsidRPr="002D1BEA" w:rsidRDefault="002D1BEA">
      <w:pPr>
        <w:rPr>
          <w:b/>
        </w:rPr>
      </w:pPr>
      <w:bookmarkStart w:id="0" w:name="_GoBack"/>
      <w:bookmarkEnd w:id="0"/>
      <w:r w:rsidRPr="002D1BEA">
        <w:rPr>
          <w:b/>
        </w:rPr>
        <w:t>Tableau synthétique des deux visites</w:t>
      </w:r>
      <w:r>
        <w:rPr>
          <w:b/>
        </w:rPr>
        <w:t xml:space="preserve"> de la journée</w:t>
      </w:r>
    </w:p>
    <w:sectPr w:rsidR="00242546" w:rsidRPr="002D1BEA" w:rsidSect="002D1B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5E"/>
    <w:rsid w:val="00242546"/>
    <w:rsid w:val="002D1BEA"/>
    <w:rsid w:val="00A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E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1BE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E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1BE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Nordez</dc:creator>
  <cp:keywords/>
  <dc:description/>
  <cp:lastModifiedBy>Dominique Nordez</cp:lastModifiedBy>
  <cp:revision>2</cp:revision>
  <dcterms:created xsi:type="dcterms:W3CDTF">2016-02-20T18:11:00Z</dcterms:created>
  <dcterms:modified xsi:type="dcterms:W3CDTF">2016-02-20T18:12:00Z</dcterms:modified>
</cp:coreProperties>
</file>